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F1DCF" w14:textId="171DC88F" w:rsidR="00BB647A" w:rsidRPr="00B10178" w:rsidRDefault="001B4DAA" w:rsidP="004D459C">
      <w:pPr>
        <w:spacing w:line="288" w:lineRule="auto"/>
        <w:rPr>
          <w:rFonts w:ascii="Titillium" w:eastAsia="Titillium" w:hAnsi="Titillium" w:cs="Titillium"/>
          <w:b/>
          <w:color w:val="2E5395"/>
          <w:sz w:val="32"/>
          <w:szCs w:val="32"/>
        </w:rPr>
      </w:pPr>
      <w:proofErr w:type="gramStart"/>
      <w:r>
        <w:rPr>
          <w:rFonts w:ascii="Titillium" w:eastAsia="Titillium" w:hAnsi="Titillium" w:cs="Titillium"/>
          <w:color w:val="2E5395"/>
          <w:sz w:val="32"/>
          <w:szCs w:val="32"/>
        </w:rPr>
        <w:t>.</w:t>
      </w:r>
      <w:r w:rsidR="00BB647A" w:rsidRPr="00B10178">
        <w:rPr>
          <w:rFonts w:ascii="Titillium" w:eastAsia="Titillium" w:hAnsi="Titillium" w:cs="Titillium"/>
          <w:color w:val="2E5395"/>
          <w:sz w:val="32"/>
          <w:szCs w:val="32"/>
        </w:rPr>
        <w:t>Allegato</w:t>
      </w:r>
      <w:proofErr w:type="gramEnd"/>
      <w:r w:rsidR="00BB647A" w:rsidRPr="00B10178">
        <w:rPr>
          <w:rFonts w:ascii="Titillium" w:eastAsia="Titillium" w:hAnsi="Titillium" w:cs="Titillium"/>
          <w:color w:val="2E5395"/>
          <w:sz w:val="32"/>
          <w:szCs w:val="32"/>
        </w:rPr>
        <w:t xml:space="preserve"> 4</w:t>
      </w:r>
      <w:r w:rsidR="00EB54F6" w:rsidRPr="00B10178">
        <w:rPr>
          <w:rFonts w:ascii="Titillium" w:eastAsia="Titillium" w:hAnsi="Titillium" w:cs="Titillium"/>
          <w:color w:val="2E5395"/>
          <w:sz w:val="32"/>
          <w:szCs w:val="32"/>
        </w:rPr>
        <w:t>a</w:t>
      </w:r>
      <w:r w:rsidR="00BB647A" w:rsidRPr="00B10178">
        <w:rPr>
          <w:rFonts w:ascii="Titillium" w:eastAsia="Titillium" w:hAnsi="Titillium" w:cs="Titillium"/>
          <w:color w:val="2E5395"/>
          <w:sz w:val="32"/>
          <w:szCs w:val="32"/>
        </w:rPr>
        <w:t xml:space="preserve"> – Modello Atto d’Obbligo per i soggetti privati</w:t>
      </w:r>
    </w:p>
    <w:p w14:paraId="2BB76FD5" w14:textId="77777777" w:rsidR="00BB647A" w:rsidRPr="00B10178" w:rsidRDefault="00BB647A" w:rsidP="00BB647A">
      <w:pPr>
        <w:spacing w:after="280" w:line="288" w:lineRule="auto"/>
        <w:jc w:val="both"/>
        <w:rPr>
          <w:rFonts w:ascii="Titillium" w:eastAsia="Titillium" w:hAnsi="Titillium" w:cs="Titillium"/>
          <w:b/>
        </w:rPr>
      </w:pPr>
      <w:bookmarkStart w:id="0" w:name="_heading=h.147n2zr" w:colFirst="0" w:colLast="0"/>
      <w:bookmarkEnd w:id="0"/>
      <w:r w:rsidRPr="00B10178">
        <w:rPr>
          <w:rFonts w:ascii="Titillium" w:eastAsia="Titillium" w:hAnsi="Titillium" w:cs="Titillium"/>
          <w:b/>
        </w:rPr>
        <w:t xml:space="preserve">Progetto “National Center for Gene Therapy and </w:t>
      </w:r>
      <w:proofErr w:type="spellStart"/>
      <w:r w:rsidRPr="00B10178">
        <w:rPr>
          <w:rFonts w:ascii="Titillium" w:eastAsia="Titillium" w:hAnsi="Titillium" w:cs="Titillium"/>
          <w:b/>
        </w:rPr>
        <w:t>Drugs</w:t>
      </w:r>
      <w:proofErr w:type="spellEnd"/>
      <w:r w:rsidRPr="00B10178">
        <w:rPr>
          <w:rFonts w:ascii="Titillium" w:eastAsia="Titillium" w:hAnsi="Titillium" w:cs="Titillium"/>
          <w:b/>
        </w:rPr>
        <w:t xml:space="preserve"> </w:t>
      </w:r>
      <w:proofErr w:type="spellStart"/>
      <w:r w:rsidRPr="00B10178">
        <w:rPr>
          <w:rFonts w:ascii="Titillium" w:eastAsia="Titillium" w:hAnsi="Titillium" w:cs="Titillium"/>
          <w:b/>
        </w:rPr>
        <w:t>based</w:t>
      </w:r>
      <w:proofErr w:type="spellEnd"/>
      <w:r w:rsidRPr="00B10178">
        <w:rPr>
          <w:rFonts w:ascii="Titillium" w:eastAsia="Titillium" w:hAnsi="Titillium" w:cs="Titillium"/>
          <w:b/>
        </w:rPr>
        <w:t xml:space="preserve"> on RNA Technology”, Codice progetto MUR: CN00000041 – Piano Nazionale di Ripresa e Resilienza, Missione 4, Componente 2, Investimento 1.4 “Potenziamento strutture di ricerca e creazione di "campioni nazionali di R&amp;S" su alcune Key </w:t>
      </w:r>
      <w:proofErr w:type="spellStart"/>
      <w:r w:rsidRPr="00B10178">
        <w:rPr>
          <w:rFonts w:ascii="Titillium" w:eastAsia="Titillium" w:hAnsi="Titillium" w:cs="Titillium"/>
          <w:b/>
        </w:rPr>
        <w:t>Enabling</w:t>
      </w:r>
      <w:proofErr w:type="spellEnd"/>
      <w:r w:rsidRPr="00B10178">
        <w:rPr>
          <w:rFonts w:ascii="Titillium" w:eastAsia="Titillium" w:hAnsi="Titillium" w:cs="Titillium"/>
          <w:b/>
        </w:rPr>
        <w:t xml:space="preserve"> Technologies” </w:t>
      </w:r>
      <w:r w:rsidRPr="00B10178">
        <w:rPr>
          <w:rFonts w:ascii="Titillium" w:eastAsia="Titillium" w:hAnsi="Titillium" w:cs="Titillium"/>
          <w:b/>
          <w:i/>
        </w:rPr>
        <w:t xml:space="preserve">Iniziativa finanziata dall’Unione europea –- </w:t>
      </w:r>
      <w:proofErr w:type="spellStart"/>
      <w:r w:rsidRPr="00B10178">
        <w:rPr>
          <w:rFonts w:ascii="Titillium" w:eastAsia="Titillium" w:hAnsi="Titillium" w:cs="Titillium"/>
          <w:b/>
          <w:i/>
        </w:rPr>
        <w:t>NextGenerationEU</w:t>
      </w:r>
      <w:proofErr w:type="spellEnd"/>
      <w:r w:rsidRPr="00B10178">
        <w:rPr>
          <w:rFonts w:ascii="Titillium" w:eastAsia="Titillium" w:hAnsi="Titillium" w:cs="Titillium"/>
          <w:b/>
          <w:i/>
        </w:rPr>
        <w:t>.</w:t>
      </w:r>
      <w:r w:rsidRPr="00B10178">
        <w:rPr>
          <w:rFonts w:ascii="Titillium" w:eastAsia="Titillium" w:hAnsi="Titillium" w:cs="Titillium"/>
          <w:b/>
        </w:rPr>
        <w:t xml:space="preserve"> </w:t>
      </w:r>
    </w:p>
    <w:p w14:paraId="374A0BD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7 agosto 1990, n. 241 recante “</w:t>
      </w:r>
      <w:r w:rsidRPr="00B10178">
        <w:rPr>
          <w:rFonts w:ascii="Titillium" w:eastAsia="Titillium" w:hAnsi="Titillium" w:cs="Titillium"/>
          <w:i/>
        </w:rPr>
        <w:t>Nuove norme in materia di procedimento amministrativo e di diritto di accesso ai documenti amministrativi</w:t>
      </w:r>
      <w:r w:rsidRPr="00B10178">
        <w:rPr>
          <w:rFonts w:ascii="Titillium" w:eastAsia="Titillium" w:hAnsi="Titillium" w:cs="Titillium"/>
        </w:rPr>
        <w:t>”;</w:t>
      </w:r>
    </w:p>
    <w:p w14:paraId="2EB5A35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del Presidente della Repubblica 28 dicembre 2000, n. 445, concernente il testo unico delle disposizioni legislative e regolamentari in materia di documentazione amministrativa; </w:t>
      </w:r>
    </w:p>
    <w:p w14:paraId="0948A8E3"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 legislativo 30 marzo 2001, n. 165, recante norme generali sull’ordinamento del lavoro alle dipendenze delle amministrazioni pubbliche;</w:t>
      </w:r>
    </w:p>
    <w:p w14:paraId="4383C33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legislativo 7 marzo 2005, n. 82, “Codice dell’amministrazione digitale”;</w:t>
      </w:r>
    </w:p>
    <w:p w14:paraId="30E5CC89"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VISTO</w:t>
      </w:r>
      <w:r w:rsidRPr="00B10178">
        <w:rPr>
          <w:rFonts w:ascii="Titillium" w:eastAsia="Titillium" w:hAnsi="Titillium" w:cs="Titillium"/>
          <w:b/>
          <w:i/>
        </w:rPr>
        <w:t xml:space="preserve"> </w:t>
      </w:r>
      <w:r w:rsidRPr="00B10178">
        <w:rPr>
          <w:rFonts w:ascii="Titillium" w:eastAsia="Titillium" w:hAnsi="Titillium" w:cs="Titillium"/>
          <w:i/>
        </w:rPr>
        <w:t>il 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pubblicato sulla Gazzetta Ufficiale Europea del 4 maggio 2016 ed applicabile a decorrere dal 25 maggio 2018;</w:t>
      </w:r>
    </w:p>
    <w:p w14:paraId="7AE4614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altresì il d.lgs. 30 giugno 2003, n. 196, “Codice in materia di protezione dei dati personali”, così come modificato dal. d.lgs. 10 agosto 2018 n. 101,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26750C3B"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Decreto-Legge 11 novembre 2022, n. 173 che reca “</w:t>
      </w:r>
      <w:r w:rsidRPr="00B10178">
        <w:rPr>
          <w:rFonts w:ascii="Titillium" w:eastAsia="Titillium" w:hAnsi="Titillium" w:cs="Titillium"/>
          <w:i/>
        </w:rPr>
        <w:t>Disposizioni urgenti in materia di riordino delle attribuzioni dei Ministeri</w:t>
      </w:r>
      <w:r w:rsidRPr="00B10178">
        <w:rPr>
          <w:rFonts w:ascii="Titillium" w:eastAsia="Titillium" w:hAnsi="Titillium" w:cs="Titillium"/>
        </w:rPr>
        <w:t>” ed in particolare l’art. 2, comma 1;</w:t>
      </w:r>
    </w:p>
    <w:p w14:paraId="7362FDA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(UE) 12 febbraio 2021 n. 241 del Parlamento europeo e del Consiglio, che istituisce il dispositivo per la Ripresa e la Resilienza;</w:t>
      </w:r>
    </w:p>
    <w:p w14:paraId="37AB230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29 luglio 2021 n. 108 di conversione, con modificazioni, del decreto-legge 31 maggio 2021 n. 77 recante “Governance del Piano nazionale di ripresa e resilienza e prime misure di rafforzamento delle strutture amministrative e di accelerazione e snellimento delle procedure”;</w:t>
      </w:r>
    </w:p>
    <w:p w14:paraId="3B6A9D9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delegato (UE) 2021/2105 della Commissione del 28 settembre 2021 che integra il regolamento (UE) 2021/241 del Parlamento europeo e del Consiglio, che istituisce il dispositivo per la ripresa e la resilienza, definendo una metodologia per la rendicontazione della spesa sociale;</w:t>
      </w:r>
    </w:p>
    <w:p w14:paraId="042C03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lastRenderedPageBreak/>
        <w:t xml:space="preserve">VISTO </w:t>
      </w:r>
      <w:r w:rsidRPr="00B10178">
        <w:rPr>
          <w:rFonts w:ascii="Titillium" w:eastAsia="Titillium" w:hAnsi="Titillium" w:cs="Titillium"/>
        </w:rPr>
        <w:t>il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279A5219"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 xml:space="preserve">il Regolamento (UE) 18 giugno 2020, n. 2020/852, in particolare l’art. 17 che definisce gli obiettivi ambientali, tra cui il principio di non arrecare un danno significativo (DNSH “Do no </w:t>
      </w:r>
      <w:proofErr w:type="spellStart"/>
      <w:r w:rsidRPr="00B10178">
        <w:rPr>
          <w:rFonts w:ascii="Titillium" w:eastAsia="Titillium" w:hAnsi="Titillium" w:cs="Titillium"/>
        </w:rPr>
        <w:t>significant</w:t>
      </w:r>
      <w:proofErr w:type="spellEnd"/>
      <w:r w:rsidRPr="00B10178">
        <w:rPr>
          <w:rFonts w:ascii="Titillium" w:eastAsia="Titillium" w:hAnsi="Titillium" w:cs="Titillium"/>
        </w:rPr>
        <w:t xml:space="preserve"> </w:t>
      </w:r>
      <w:proofErr w:type="spellStart"/>
      <w:r w:rsidRPr="00B10178">
        <w:rPr>
          <w:rFonts w:ascii="Titillium" w:eastAsia="Titillium" w:hAnsi="Titillium" w:cs="Titillium"/>
        </w:rPr>
        <w:t>harm</w:t>
      </w:r>
      <w:proofErr w:type="spellEnd"/>
      <w:r w:rsidRPr="00B10178">
        <w:rPr>
          <w:rFonts w:ascii="Titillium" w:eastAsia="Titillium" w:hAnsi="Titillium" w:cs="Titillium"/>
        </w:rPr>
        <w:t>”) nonché la Comunicazione della Commissione UE 2021/C 58/01 recante “Orientamenti tecnici sull’applicazione del principio DNSH a norma del regolamento sul dispositivo per la ripresa e la resilienza”;</w:t>
      </w:r>
    </w:p>
    <w:p w14:paraId="664C4A4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CONSIDERATI </w:t>
      </w:r>
      <w:r w:rsidRPr="00B10178">
        <w:rPr>
          <w:rFonts w:ascii="Titillium" w:eastAsia="Titillium" w:hAnsi="Titillium" w:cs="Titillium"/>
        </w:rPr>
        <w:t xml:space="preserve">altresì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 </w:t>
      </w:r>
    </w:p>
    <w:p w14:paraId="17CA13F5"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CONSIDERATO</w:t>
      </w:r>
      <w:r w:rsidRPr="00B10178">
        <w:rPr>
          <w:rFonts w:ascii="Titillium" w:eastAsia="Titillium" w:hAnsi="Titillium" w:cs="Titillium"/>
        </w:rPr>
        <w:t xml:space="preserve"> che con Decreto Direttoriale 16 dicembre 2021, n. 3138, modificato con Decreto Direttoriale 18 dicembre 2021, n. 3175, il MUR ha indetto un Avviso pubblico per la presentazione di Proposte di intervento per il Potenziamento di strutture di ricerca e creazione di “Campioni Nazionali” di R&amp;S su alcune Key </w:t>
      </w:r>
      <w:proofErr w:type="spellStart"/>
      <w:r w:rsidRPr="00B10178">
        <w:rPr>
          <w:rFonts w:ascii="Titillium" w:eastAsia="Titillium" w:hAnsi="Titillium" w:cs="Titillium"/>
        </w:rPr>
        <w:t>Enabling</w:t>
      </w:r>
      <w:proofErr w:type="spellEnd"/>
      <w:r w:rsidRPr="00B10178">
        <w:rPr>
          <w:rFonts w:ascii="Titillium" w:eastAsia="Titillium" w:hAnsi="Titillium" w:cs="Titillium"/>
        </w:rPr>
        <w:t xml:space="preserve"> Technologies da finanziare nell’ambito del Piano Nazionale di Ripresa e Resilienza, Missione 4 Componente 2 Investimento 1.4 finanziato dall’Unione europea – </w:t>
      </w:r>
      <w:proofErr w:type="spellStart"/>
      <w:r w:rsidRPr="00B10178">
        <w:rPr>
          <w:rFonts w:ascii="Titillium" w:eastAsia="Titillium" w:hAnsi="Titillium" w:cs="Titillium"/>
        </w:rPr>
        <w:t>NextGenerationEU</w:t>
      </w:r>
      <w:proofErr w:type="spellEnd"/>
      <w:r w:rsidRPr="00B10178">
        <w:rPr>
          <w:rFonts w:ascii="Titillium" w:eastAsia="Titillium" w:hAnsi="Titillium" w:cs="Titillium"/>
        </w:rPr>
        <w:t>”</w:t>
      </w:r>
      <w:r w:rsidRPr="00B10178">
        <w:rPr>
          <w:rFonts w:ascii="Titillium" w:eastAsia="Titillium" w:hAnsi="Titillium" w:cs="Titillium"/>
          <w:i/>
        </w:rPr>
        <w:t>;</w:t>
      </w:r>
    </w:p>
    <w:p w14:paraId="3E6C5E2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 xml:space="preserve">che con Bandi a cascata, ai sensi dell’art. 2, n. 33 del suddetto Avviso, si intendono </w:t>
      </w:r>
      <w:r w:rsidRPr="00B10178">
        <w:rPr>
          <w:rFonts w:ascii="Titillium" w:eastAsia="Titillium" w:hAnsi="Titillium" w:cs="Titillium"/>
          <w:i/>
        </w:rPr>
        <w:t xml:space="preserve">“procedure competitive emanate dagli </w:t>
      </w:r>
      <w:proofErr w:type="spellStart"/>
      <w:r w:rsidRPr="00B10178">
        <w:rPr>
          <w:rFonts w:ascii="Titillium" w:eastAsia="Titillium" w:hAnsi="Titillium" w:cs="Titillium"/>
          <w:i/>
        </w:rPr>
        <w:t>Spoke</w:t>
      </w:r>
      <w:proofErr w:type="spellEnd"/>
      <w:r w:rsidRPr="00B10178">
        <w:rPr>
          <w:rFonts w:ascii="Titillium" w:eastAsia="Titillium" w:hAnsi="Titillium" w:cs="Titillium"/>
          <w:i/>
        </w:rPr>
        <w:t xml:space="preserve"> di natura pubblica di un Centro Nazionale, nel rispetto delle disposizioni sugli aiuti di Stato, sui concorsi e sui contratti pubblici, nonché delle altre norme comunitarie e nazionali applicabili, per il reclutamento di ricercatori e tecnologi a tempo determinato, per la concessione a soggetti esterni al CN di finanziamenti per attività di ricerca e per l’acquisto di forniture, beni e servizi necessari alla sua attuazione”</w:t>
      </w:r>
      <w:r w:rsidRPr="00B10178">
        <w:rPr>
          <w:rFonts w:ascii="Titillium" w:eastAsia="Titillium" w:hAnsi="Titillium" w:cs="Titillium"/>
        </w:rPr>
        <w:t xml:space="preserve">; </w:t>
      </w:r>
    </w:p>
    <w:p w14:paraId="5E64777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altresì che, come previsto dall’art. 4, comma 10 dell’Avviso, “</w:t>
      </w:r>
      <w:r w:rsidRPr="00B10178">
        <w:rPr>
          <w:rFonts w:ascii="Titillium" w:eastAsia="Titillium" w:hAnsi="Titillium" w:cs="Titillium"/>
          <w:i/>
        </w:rPr>
        <w:t xml:space="preserve">Gli </w:t>
      </w:r>
      <w:proofErr w:type="spellStart"/>
      <w:r w:rsidRPr="00B10178">
        <w:rPr>
          <w:rFonts w:ascii="Titillium" w:eastAsia="Titillium" w:hAnsi="Titillium" w:cs="Titillium"/>
          <w:i/>
        </w:rPr>
        <w:t>Spoke</w:t>
      </w:r>
      <w:proofErr w:type="spellEnd"/>
      <w:r w:rsidRPr="00B10178">
        <w:rPr>
          <w:rFonts w:ascii="Titillium" w:eastAsia="Titillium" w:hAnsi="Titillium" w:cs="Titillium"/>
          <w:i/>
        </w:rPr>
        <w:t xml:space="preserve"> di natura pubblica emanano, nell’ambito dei limiti e con le modalità previste all’articolo 5, “bandi a cascata” finalizzati al reclutamento di ricercatori a tempo determinato e alla concessione di finanziamenti a soggetti esterni al CN per attività di ricerca coerenti con il Programma di ricerca</w:t>
      </w:r>
      <w:r w:rsidRPr="00B10178">
        <w:rPr>
          <w:rFonts w:ascii="Titillium" w:eastAsia="Titillium" w:hAnsi="Titillium" w:cs="Titillium"/>
        </w:rPr>
        <w:t>”;</w:t>
      </w:r>
    </w:p>
    <w:p w14:paraId="4F493CF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CONSIDERATO </w:t>
      </w:r>
      <w:r w:rsidRPr="00B10178">
        <w:rPr>
          <w:rFonts w:ascii="Titillium" w:eastAsia="Titillium" w:hAnsi="Titillium" w:cs="Titillium"/>
        </w:rPr>
        <w:t>che con decreto n. 1035 del 17.6.2022, il progetto ”</w:t>
      </w:r>
      <w:r w:rsidRPr="00B10178">
        <w:rPr>
          <w:rFonts w:ascii="Titillium" w:eastAsia="Titillium" w:hAnsi="Titillium" w:cs="Titillium"/>
          <w:i/>
        </w:rPr>
        <w:t xml:space="preserve">National Center for Gene Therapy and </w:t>
      </w:r>
      <w:proofErr w:type="spellStart"/>
      <w:r w:rsidRPr="00B10178">
        <w:rPr>
          <w:rFonts w:ascii="Titillium" w:eastAsia="Titillium" w:hAnsi="Titillium" w:cs="Titillium"/>
          <w:i/>
        </w:rPr>
        <w:t>Drugs</w:t>
      </w:r>
      <w:proofErr w:type="spellEnd"/>
      <w:r w:rsidRPr="00B10178">
        <w:rPr>
          <w:rFonts w:ascii="Titillium" w:eastAsia="Titillium" w:hAnsi="Titillium" w:cs="Titillium"/>
          <w:i/>
        </w:rPr>
        <w:t xml:space="preserve"> </w:t>
      </w:r>
      <w:proofErr w:type="spellStart"/>
      <w:r w:rsidRPr="00B10178">
        <w:rPr>
          <w:rFonts w:ascii="Titillium" w:eastAsia="Titillium" w:hAnsi="Titillium" w:cs="Titillium"/>
          <w:i/>
        </w:rPr>
        <w:t>based</w:t>
      </w:r>
      <w:proofErr w:type="spellEnd"/>
      <w:r w:rsidRPr="00B10178">
        <w:rPr>
          <w:rFonts w:ascii="Titillium" w:eastAsia="Titillium" w:hAnsi="Titillium" w:cs="Titillium"/>
          <w:i/>
        </w:rPr>
        <w:t xml:space="preserve"> on RNA Technology</w:t>
      </w:r>
      <w:r w:rsidRPr="00B10178">
        <w:rPr>
          <w:rFonts w:ascii="Titillium" w:eastAsia="Titillium" w:hAnsi="Titillium" w:cs="Titillium"/>
        </w:rPr>
        <w:t xml:space="preserve">”, è stato ammesso a finanziamento nell’ambito dell’Investimento 1.4- Potenziamento strutture di ricerca e creazione di “campioni nazionali” di R&amp;S su alcune Key </w:t>
      </w:r>
      <w:proofErr w:type="spellStart"/>
      <w:r w:rsidRPr="00B10178">
        <w:rPr>
          <w:rFonts w:ascii="Titillium" w:eastAsia="Titillium" w:hAnsi="Titillium" w:cs="Titillium"/>
        </w:rPr>
        <w:t>Enabling</w:t>
      </w:r>
      <w:proofErr w:type="spellEnd"/>
      <w:r w:rsidRPr="00B10178">
        <w:rPr>
          <w:rFonts w:ascii="Titillium" w:eastAsia="Titillium" w:hAnsi="Titillium" w:cs="Titillium"/>
        </w:rPr>
        <w:t xml:space="preserve"> Technologies - nell’ambito della Missione 4 “Istruzione e ricerca” – Componente 2 “Dalla ricerca </w:t>
      </w:r>
      <w:r w:rsidRPr="00B10178">
        <w:rPr>
          <w:rFonts w:ascii="Titillium" w:eastAsia="Titillium" w:hAnsi="Titillium" w:cs="Titillium"/>
        </w:rPr>
        <w:lastRenderedPageBreak/>
        <w:t xml:space="preserve">all’impresa” del Piano Nazionale di Ripresa e Resilienza (di seguito PNRR), per un importo pari a  320.036.606,03 € da utilizzarsi per lo sviluppo di Key </w:t>
      </w:r>
      <w:proofErr w:type="spellStart"/>
      <w:r w:rsidRPr="00B10178">
        <w:rPr>
          <w:rFonts w:ascii="Titillium" w:eastAsia="Titillium" w:hAnsi="Titillium" w:cs="Titillium"/>
        </w:rPr>
        <w:t>Enabling</w:t>
      </w:r>
      <w:proofErr w:type="spellEnd"/>
      <w:r w:rsidRPr="00B10178">
        <w:rPr>
          <w:rFonts w:ascii="Titillium" w:eastAsia="Titillium" w:hAnsi="Titillium" w:cs="Titillium"/>
        </w:rPr>
        <w:t xml:space="preserve"> Technologies relativa alla tematica “</w:t>
      </w:r>
      <w:r w:rsidRPr="00B10178">
        <w:rPr>
          <w:rFonts w:ascii="Titillium" w:eastAsia="Titillium" w:hAnsi="Titillium" w:cs="Titillium"/>
          <w:b/>
        </w:rPr>
        <w:t>Sviluppo di terapia genica e farmaci con tecnologia a RNA”.</w:t>
      </w:r>
    </w:p>
    <w:p w14:paraId="47B4DD4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che il Soggetto Attuatore (Hub) Fondazione Centro Nazionale “Farmaci a RNA e Terapia genica – CN RNA &amp; Gene Therapy (di seguito anche “Hub”) è il soggetto responsabile dell’avvio, dell’attuazione e della gestione del suddetto programma;</w:t>
      </w:r>
    </w:p>
    <w:p w14:paraId="00997E7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altresì che l’Università di Padova,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n. 4, è Soggetto Esecutore del suddetto programma; </w:t>
      </w:r>
    </w:p>
    <w:p w14:paraId="1B95E311"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PREMESSO CHE</w:t>
      </w:r>
    </w:p>
    <w:p w14:paraId="6034C75C" w14:textId="290A207E" w:rsidR="00BB647A" w:rsidRPr="00B10178" w:rsidRDefault="00BB647A" w:rsidP="00BB647A">
      <w:pPr>
        <w:numPr>
          <w:ilvl w:val="0"/>
          <w:numId w:val="18"/>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con </w:t>
      </w:r>
      <w:r w:rsidR="00531125" w:rsidRPr="00B10178">
        <w:rPr>
          <w:rFonts w:ascii="Titillium" w:eastAsia="Titillium" w:hAnsi="Titillium" w:cs="Titillium"/>
          <w:color w:val="000000"/>
        </w:rPr>
        <w:t xml:space="preserve">Decreto del Direttore Generale Rep. n. </w:t>
      </w:r>
      <w:r w:rsidR="00C62DFC">
        <w:rPr>
          <w:rFonts w:ascii="Titillium" w:eastAsia="Titillium" w:hAnsi="Titillium" w:cs="Titillium"/>
          <w:color w:val="000000"/>
        </w:rPr>
        <w:t>854</w:t>
      </w:r>
      <w:r w:rsidR="00531125" w:rsidRPr="00B10178">
        <w:rPr>
          <w:rFonts w:ascii="Titillium" w:eastAsia="Titillium" w:hAnsi="Titillium" w:cs="Titillium"/>
          <w:color w:val="000000"/>
        </w:rPr>
        <w:t>/202</w:t>
      </w:r>
      <w:r w:rsidR="00C62DFC">
        <w:rPr>
          <w:rFonts w:ascii="Titillium" w:eastAsia="Titillium" w:hAnsi="Titillium" w:cs="Titillium"/>
          <w:color w:val="000000"/>
        </w:rPr>
        <w:t>4</w:t>
      </w:r>
      <w:r w:rsidR="00531125" w:rsidRPr="00B10178">
        <w:rPr>
          <w:rFonts w:ascii="Titillium" w:eastAsia="Titillium" w:hAnsi="Titillium" w:cs="Titillium"/>
          <w:color w:val="000000"/>
        </w:rPr>
        <w:t xml:space="preserve"> del </w:t>
      </w:r>
      <w:r w:rsidR="00C62DFC">
        <w:rPr>
          <w:rFonts w:ascii="Titillium" w:eastAsia="Titillium" w:hAnsi="Titillium" w:cs="Titillium"/>
          <w:color w:val="000000"/>
        </w:rPr>
        <w:t>5 marzo 2024</w:t>
      </w:r>
      <w:r w:rsidR="00531125" w:rsidRPr="00B10178">
        <w:rPr>
          <w:rFonts w:ascii="Titillium" w:eastAsia="Titillium" w:hAnsi="Titillium" w:cs="Titillium"/>
          <w:color w:val="000000"/>
        </w:rPr>
        <w:t xml:space="preserve"> </w:t>
      </w:r>
      <w:r w:rsidRPr="00B10178">
        <w:rPr>
          <w:rFonts w:ascii="Titillium" w:eastAsia="Titillium" w:hAnsi="Titillium" w:cs="Titillium"/>
          <w:color w:val="000000"/>
        </w:rPr>
        <w:t xml:space="preserve">l’Università degli Studi di Padova con sede in via VIII Febbraio 2 35122 Padova, Codice Fiscale 80006480281 in persona del legale rappresentante, nella sua qualità di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come da Programma di Ricerca (codice CN00000041), in attuazione di quanto disposto dalla Fondazione CN RNA-Gene Therapy, ha approvato il Bando a cascata per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n. 4 avente ad oggetto “</w:t>
      </w:r>
      <w:proofErr w:type="spellStart"/>
      <w:r w:rsidRPr="00B10178">
        <w:rPr>
          <w:rFonts w:ascii="Titillium" w:eastAsia="Titillium" w:hAnsi="Titillium" w:cs="Titillium"/>
        </w:rPr>
        <w:t>Metabolic</w:t>
      </w:r>
      <w:proofErr w:type="spellEnd"/>
      <w:r w:rsidRPr="00B10178">
        <w:rPr>
          <w:rFonts w:ascii="Titillium" w:eastAsia="Titillium" w:hAnsi="Titillium" w:cs="Titillium"/>
        </w:rPr>
        <w:t xml:space="preserve"> and </w:t>
      </w:r>
      <w:proofErr w:type="spellStart"/>
      <w:r w:rsidRPr="00B10178">
        <w:rPr>
          <w:rFonts w:ascii="Titillium" w:eastAsia="Titillium" w:hAnsi="Titillium" w:cs="Titillium"/>
        </w:rPr>
        <w:t>cardiovascular</w:t>
      </w:r>
      <w:proofErr w:type="spellEnd"/>
      <w:r w:rsidRPr="00B10178">
        <w:rPr>
          <w:rFonts w:ascii="Titillium" w:eastAsia="Titillium" w:hAnsi="Titillium" w:cs="Titillium"/>
        </w:rPr>
        <w:t xml:space="preserve"> </w:t>
      </w:r>
      <w:proofErr w:type="spellStart"/>
      <w:r w:rsidRPr="00B10178">
        <w:rPr>
          <w:rFonts w:ascii="Titillium" w:eastAsia="Titillium" w:hAnsi="Titillium" w:cs="Titillium"/>
        </w:rPr>
        <w:t>diseases</w:t>
      </w:r>
      <w:proofErr w:type="spellEnd"/>
      <w:r w:rsidRPr="00B10178">
        <w:rPr>
          <w:rFonts w:ascii="Titillium" w:eastAsia="Titillium" w:hAnsi="Titillium" w:cs="Titillium"/>
        </w:rPr>
        <w:t>”</w:t>
      </w:r>
      <w:r w:rsidRPr="00B10178">
        <w:rPr>
          <w:rFonts w:ascii="Titillium" w:eastAsia="Titillium" w:hAnsi="Titillium" w:cs="Titillium"/>
          <w:color w:val="000000"/>
        </w:rPr>
        <w:t xml:space="preserve"> (di seguito anche “Bando”), per l’importo complessivo di euro </w:t>
      </w:r>
      <w:r w:rsidR="00507A0B" w:rsidRPr="00507A0B">
        <w:rPr>
          <w:rFonts w:ascii="Titillium" w:eastAsia="Titillium" w:hAnsi="Titillium" w:cs="Titillium"/>
          <w:color w:val="000000"/>
        </w:rPr>
        <w:t>1.487.613,83</w:t>
      </w:r>
      <w:r w:rsidRPr="00B10178">
        <w:rPr>
          <w:rFonts w:ascii="Titillium" w:eastAsia="Titillium" w:hAnsi="Titillium" w:cs="Titillium"/>
          <w:color w:val="000000"/>
        </w:rPr>
        <w:t xml:space="preserve"> da assegnarsi secondo le modalità stabilite dal medesimo Bando;</w:t>
      </w:r>
    </w:p>
    <w:p w14:paraId="63D10500" w14:textId="77777777" w:rsidR="00BB647A" w:rsidRPr="00B10178" w:rsidRDefault="00BB647A" w:rsidP="00BB647A">
      <w:pPr>
        <w:numPr>
          <w:ilvl w:val="0"/>
          <w:numId w:val="18"/>
        </w:numPr>
        <w:pBdr>
          <w:top w:val="nil"/>
          <w:left w:val="nil"/>
          <w:bottom w:val="nil"/>
          <w:right w:val="nil"/>
          <w:between w:val="nil"/>
        </w:pBdr>
        <w:spacing w:after="280" w:line="288" w:lineRule="auto"/>
        <w:ind w:left="714" w:hanging="357"/>
        <w:jc w:val="both"/>
        <w:rPr>
          <w:rFonts w:ascii="Titillium" w:eastAsia="Titillium" w:hAnsi="Titillium" w:cs="Titillium"/>
          <w:color w:val="000000"/>
        </w:rPr>
      </w:pPr>
      <w:r w:rsidRPr="00B10178">
        <w:rPr>
          <w:rFonts w:ascii="Titillium" w:eastAsia="Titillium" w:hAnsi="Titillium" w:cs="Titillium"/>
          <w:color w:val="000000"/>
        </w:rPr>
        <w:t xml:space="preserve">con provvedimento n. _________del ___________, l’Ateneo______, in persona del legale rappresentante, nella sua qualità di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ha assegnato al Beneficiario sotto specificato il finanziamento di euro _______ per la realizzazione del progetto denominato “____________” (di seguito anche “il Progetto”), corredato dei seguenti allegati (i) Allegato A –Proposta di Progetto; (ii) Allegato B– Piano economico-finanziario di Progetto; (iii) Allegato C –Cronoprogramma di Progetto; </w:t>
      </w:r>
    </w:p>
    <w:p w14:paraId="64B9BA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L’Ateneo__________ con sede in ____________, P.IVA __________, PEC___________, rappresentata dal Rettore ___________, nato a _____</w:t>
      </w:r>
      <w:proofErr w:type="gramStart"/>
      <w:r w:rsidRPr="00B10178">
        <w:rPr>
          <w:rFonts w:ascii="Titillium" w:eastAsia="Titillium" w:hAnsi="Titillium" w:cs="Titillium"/>
        </w:rPr>
        <w:t>_(</w:t>
      </w:r>
      <w:proofErr w:type="gramEnd"/>
      <w:r w:rsidRPr="00B10178">
        <w:rPr>
          <w:rFonts w:ascii="Titillium" w:eastAsia="Titillium" w:hAnsi="Titillium" w:cs="Titillium"/>
        </w:rPr>
        <w:t xml:space="preserve">__) il ________, in qualità di legale rappresentante, nella sua qualità di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______________, come “Programma di Ricerca …..”  (di seguito, “</w:t>
      </w:r>
      <w:proofErr w:type="spellStart"/>
      <w:r w:rsidRPr="00B10178">
        <w:rPr>
          <w:rFonts w:ascii="Titillium" w:eastAsia="Titillium" w:hAnsi="Titillium" w:cs="Titillium"/>
        </w:rPr>
        <w:t>Spoke</w:t>
      </w:r>
      <w:proofErr w:type="spellEnd"/>
      <w:r w:rsidRPr="00B10178">
        <w:rPr>
          <w:rFonts w:ascii="Titillium" w:eastAsia="Titillium" w:hAnsi="Titillium" w:cs="Titillium"/>
        </w:rPr>
        <w:t>”)</w:t>
      </w:r>
    </w:p>
    <w:p w14:paraId="4440103B" w14:textId="77777777" w:rsidR="00BB647A" w:rsidRPr="00B10178" w:rsidRDefault="00BB647A" w:rsidP="00BB647A">
      <w:pPr>
        <w:pBdr>
          <w:top w:val="nil"/>
          <w:left w:val="nil"/>
          <w:bottom w:val="nil"/>
          <w:right w:val="nil"/>
          <w:between w:val="nil"/>
        </w:pBdr>
        <w:spacing w:line="288" w:lineRule="auto"/>
        <w:jc w:val="center"/>
        <w:rPr>
          <w:rFonts w:ascii="Titillium" w:eastAsia="Titillium" w:hAnsi="Titillium" w:cs="Titillium"/>
          <w:color w:val="000000"/>
        </w:rPr>
      </w:pPr>
      <w:r w:rsidRPr="00B10178">
        <w:rPr>
          <w:rFonts w:ascii="Titillium" w:eastAsia="Titillium" w:hAnsi="Titillium" w:cs="Titillium"/>
          <w:color w:val="000000"/>
        </w:rPr>
        <w:t>e</w:t>
      </w:r>
    </w:p>
    <w:p w14:paraId="68BB8564" w14:textId="77777777" w:rsidR="00BB647A" w:rsidRPr="00B10178" w:rsidRDefault="00000000" w:rsidP="00BB647A">
      <w:pPr>
        <w:pBdr>
          <w:top w:val="nil"/>
          <w:left w:val="nil"/>
          <w:bottom w:val="nil"/>
          <w:right w:val="nil"/>
          <w:between w:val="nil"/>
        </w:pBdr>
        <w:spacing w:line="288" w:lineRule="auto"/>
        <w:jc w:val="both"/>
        <w:rPr>
          <w:rFonts w:ascii="Titillium" w:eastAsia="Titillium" w:hAnsi="Titillium" w:cs="Titillium"/>
          <w:color w:val="000000"/>
        </w:rPr>
      </w:pPr>
      <w:sdt>
        <w:sdtPr>
          <w:tag w:val="goog_rdk_7"/>
          <w:id w:val="212628865"/>
        </w:sdtPr>
        <w:sdtContent/>
      </w:sdt>
      <w:r w:rsidR="00BB647A" w:rsidRPr="00B10178">
        <w:rPr>
          <w:rFonts w:ascii="Titillium" w:eastAsia="Titillium" w:hAnsi="Titillium" w:cs="Titillium"/>
          <w:color w:val="000000"/>
        </w:rPr>
        <w:t xml:space="preserve">_______, con sede in ________ Partita IVA ___________ </w:t>
      </w:r>
      <w:proofErr w:type="spellStart"/>
      <w:r w:rsidR="00BB647A" w:rsidRPr="00B10178">
        <w:rPr>
          <w:rFonts w:ascii="Titillium" w:eastAsia="Titillium" w:hAnsi="Titillium" w:cs="Titillium"/>
          <w:color w:val="000000"/>
        </w:rPr>
        <w:t>pec</w:t>
      </w:r>
      <w:proofErr w:type="spellEnd"/>
      <w:r w:rsidR="00BB647A" w:rsidRPr="00B10178">
        <w:rPr>
          <w:rFonts w:ascii="Titillium" w:eastAsia="Titillium" w:hAnsi="Titillium" w:cs="Titillium"/>
          <w:color w:val="000000"/>
        </w:rPr>
        <w:t xml:space="preserve">: __________, rappresentata da ____________, nato ____(__) il __________, in qualità di legale rappresentante e aggiudicatario del finanziamento di euro______ in relazione al Bando di cui in premesse, per il progetto denominato “________”(di seguito “Beneficiario”) </w:t>
      </w:r>
    </w:p>
    <w:p w14:paraId="7CF944FC" w14:textId="77777777" w:rsidR="00BB647A" w:rsidRPr="00B10178" w:rsidRDefault="00BB647A" w:rsidP="00BB647A">
      <w:pPr>
        <w:pBdr>
          <w:top w:val="nil"/>
          <w:left w:val="nil"/>
          <w:bottom w:val="nil"/>
          <w:right w:val="nil"/>
          <w:between w:val="nil"/>
        </w:pBdr>
        <w:spacing w:after="280" w:line="288" w:lineRule="auto"/>
        <w:jc w:val="right"/>
        <w:rPr>
          <w:rFonts w:ascii="Titillium" w:eastAsia="Titillium" w:hAnsi="Titillium" w:cs="Titillium"/>
          <w:color w:val="000000"/>
        </w:rPr>
      </w:pPr>
      <w:r w:rsidRPr="00B10178">
        <w:rPr>
          <w:rFonts w:ascii="Titillium" w:eastAsia="Titillium" w:hAnsi="Titillium" w:cs="Titillium"/>
          <w:color w:val="000000"/>
        </w:rPr>
        <w:t>(congiuntamente anche “le Parti”)</w:t>
      </w:r>
    </w:p>
    <w:p w14:paraId="01D87AD3"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lastRenderedPageBreak/>
        <w:t>CONVENGONO E STIPULANO QUANTO SEGUE</w:t>
      </w:r>
    </w:p>
    <w:p w14:paraId="68ECAD1E"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Art. 1 – Oggetto</w:t>
      </w:r>
    </w:p>
    <w:p w14:paraId="5ABA482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presente Atto d’Obbligo (di seguito anche “Atto”) è finalizzato a disciplinare i rapporti tra 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ed il Beneficiario, nonché i relativi termini e condizioni, le modalità di attuazione e gli obblighi di rendicontazione del Progetto identificato con acronimo__________, dal titolo “__________”. </w:t>
      </w:r>
    </w:p>
    <w:p w14:paraId="376E81A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premesse e gli allegati formano parte integrante e sostanziale del presente Atto d’Obbligo (di seguito “Atto d’Obbligo).</w:t>
      </w:r>
    </w:p>
    <w:p w14:paraId="257148E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L’Atto ha efficacia dalla data di sottoscrizione dello stesso.</w:t>
      </w:r>
    </w:p>
    <w:p w14:paraId="0605855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2 – Termini di attuazione del progetto, durata e importo del finanziamento</w:t>
      </w:r>
    </w:p>
    <w:p w14:paraId="1CD9AE94" w14:textId="77777777" w:rsidR="00BB647A" w:rsidRPr="00B10178" w:rsidRDefault="00BB647A" w:rsidP="00BB647A">
      <w:pPr>
        <w:pBdr>
          <w:top w:val="nil"/>
          <w:left w:val="nil"/>
          <w:bottom w:val="nil"/>
          <w:right w:val="nil"/>
          <w:between w:val="nil"/>
        </w:pBdr>
        <w:shd w:val="clear" w:color="auto" w:fill="FFFFFF" w:themeFill="background1"/>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progetto denominato “____”, come sopra ammesso al finanziamento per euro _____ a valere sui fondi con CUP_____________ avrà la durata di ……… e sarà attuato secondo le modalità descritte nell’Allegato A e Allegato B e le tempistiche indicate nell’Allegato C recepite nel provvedimento dell’Ateneo_____ n. ___del ____. </w:t>
      </w:r>
    </w:p>
    <w:p w14:paraId="660B3848"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 rispetto di tali previsioni, il Beneficiario è tenuto ad assicurare l’avvio tempestivo delle attività per non incorrere in ritardi attuativi e la conclusione del Progetto nel rispetto della tempistica prevista. Le attività, come dettagliate nei </w:t>
      </w:r>
      <w:proofErr w:type="gramStart"/>
      <w:r w:rsidRPr="00B10178">
        <w:rPr>
          <w:rFonts w:ascii="Titillium" w:eastAsia="Titillium" w:hAnsi="Titillium" w:cs="Titillium"/>
          <w:color w:val="000000"/>
        </w:rPr>
        <w:t>predetti</w:t>
      </w:r>
      <w:proofErr w:type="gramEnd"/>
      <w:r w:rsidRPr="00B10178">
        <w:rPr>
          <w:rFonts w:ascii="Titillium" w:eastAsia="Titillium" w:hAnsi="Titillium" w:cs="Titillium"/>
          <w:color w:val="000000"/>
        </w:rPr>
        <w:t xml:space="preserve"> allegati, dovranno essere avviate dal Beneficiario a partire dalla data di sottoscrizione del presente atto. </w:t>
      </w:r>
    </w:p>
    <w:p w14:paraId="577B1E29"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durata di realizzazione del Progetto decorre dalla sottoscrizione del provvedimento di concessione del finanziamento ed è prorogabile una sola volta per massimo </w:t>
      </w:r>
      <w:proofErr w:type="gramStart"/>
      <w:r w:rsidRPr="00B10178">
        <w:rPr>
          <w:rFonts w:ascii="Titillium" w:eastAsia="Titillium" w:hAnsi="Titillium" w:cs="Titillium"/>
          <w:color w:val="000000"/>
        </w:rPr>
        <w:t>6</w:t>
      </w:r>
      <w:proofErr w:type="gramEnd"/>
      <w:r w:rsidRPr="00B10178">
        <w:rPr>
          <w:rFonts w:ascii="Titillium" w:eastAsia="Titillium" w:hAnsi="Titillium" w:cs="Titillium"/>
          <w:color w:val="000000"/>
        </w:rPr>
        <w:t xml:space="preserve"> mesi e non oltre la durata del Programma di Ricerca.</w:t>
      </w:r>
    </w:p>
    <w:p w14:paraId="2940FC56"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Le eventuali richieste di variazione di tempistiche del progetto dovranno essere notificate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prima della scadenza originariamente fissata. Potranno essere valutate e concesse proroghe in presenza di ritardi dovuti a circostanze eccezionali e non dipendenti da scelte dal Beneficiario e che comunque dovranno essere in linea con le tempistiche previste dal Programma di Ricerca stesso. </w:t>
      </w:r>
    </w:p>
    <w:p w14:paraId="3D1D493B"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3</w:t>
      </w:r>
      <w:r w:rsidRPr="00B10178">
        <w:rPr>
          <w:rFonts w:ascii="Titillium" w:eastAsia="Titillium" w:hAnsi="Titillium" w:cs="Titillium"/>
          <w:color w:val="000000"/>
        </w:rPr>
        <w:t xml:space="preserve"> – </w:t>
      </w:r>
      <w:r w:rsidRPr="00B10178">
        <w:rPr>
          <w:rFonts w:ascii="Titillium" w:eastAsia="Titillium" w:hAnsi="Titillium" w:cs="Titillium"/>
          <w:b/>
          <w:color w:val="000000"/>
        </w:rPr>
        <w:t xml:space="preserve">Obblighi del Beneficiario </w:t>
      </w:r>
    </w:p>
    <w:p w14:paraId="278F3C0B"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Il Beneficiario si obbliga a: </w:t>
      </w:r>
    </w:p>
    <w:p w14:paraId="3CFF4325" w14:textId="77777777" w:rsidR="00BB647A" w:rsidRPr="00B10178" w:rsidRDefault="00000000"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sdt>
        <w:sdtPr>
          <w:tag w:val="goog_rdk_8"/>
          <w:id w:val="1511727134"/>
        </w:sdtPr>
        <w:sdtContent/>
      </w:sdt>
      <w:r w:rsidR="00BB647A" w:rsidRPr="00B10178">
        <w:rPr>
          <w:rFonts w:ascii="Titillium" w:eastAsia="Titillium" w:hAnsi="Titillium" w:cs="Titillium"/>
          <w:color w:val="000000"/>
        </w:rPr>
        <w:t>adottare il sistema informatico utilizzato dal MUR “</w:t>
      </w:r>
      <w:proofErr w:type="spellStart"/>
      <w:r w:rsidR="00BB647A" w:rsidRPr="00B10178">
        <w:rPr>
          <w:rFonts w:ascii="Titillium" w:eastAsia="Titillium" w:hAnsi="Titillium" w:cs="Titillium"/>
          <w:color w:val="000000"/>
        </w:rPr>
        <w:t>AtWork</w:t>
      </w:r>
      <w:proofErr w:type="spellEnd"/>
      <w:r w:rsidR="00BB647A" w:rsidRPr="00B10178">
        <w:rPr>
          <w:rFonts w:ascii="Titillium" w:eastAsia="Titillium" w:hAnsi="Titillium" w:cs="Titillium"/>
          <w:color w:val="000000"/>
        </w:rPr>
        <w:t xml:space="preserve">” finalizzato a raccogliere, registrare e archiviare in formato elettronico i dati per ciascuna operazione necessari per la sorveglianza, la valutazione, la gestione finanziaria, la verifica e l’audit, secondo quanto previsto dall’art. 22.2 </w:t>
      </w:r>
      <w:r w:rsidR="00BB647A" w:rsidRPr="00B10178">
        <w:rPr>
          <w:rFonts w:ascii="Titillium" w:eastAsia="Titillium" w:hAnsi="Titillium" w:cs="Titillium"/>
          <w:color w:val="000000"/>
        </w:rPr>
        <w:lastRenderedPageBreak/>
        <w:t xml:space="preserve">lettera d) del Regolamento (UE) 2021/241 e tenendo conto delle indicazioni che verranno fornite dal MUR per tramite di HUB e </w:t>
      </w:r>
      <w:proofErr w:type="spellStart"/>
      <w:r w:rsidR="00BB647A" w:rsidRPr="00B10178">
        <w:rPr>
          <w:rFonts w:ascii="Titillium" w:eastAsia="Titillium" w:hAnsi="Titillium" w:cs="Titillium"/>
          <w:color w:val="000000"/>
        </w:rPr>
        <w:t>Spoke</w:t>
      </w:r>
      <w:proofErr w:type="spellEnd"/>
      <w:r w:rsidR="00BB647A" w:rsidRPr="00B10178">
        <w:rPr>
          <w:rFonts w:ascii="Titillium" w:eastAsia="Titillium" w:hAnsi="Titillium" w:cs="Titillium"/>
          <w:color w:val="000000"/>
        </w:rPr>
        <w:t xml:space="preserve">; </w:t>
      </w:r>
    </w:p>
    <w:p w14:paraId="27BFB16B"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caricare sul sistema informativo adottato dal MUR i dati di monitoraggio sull’avanzamento procedurale, fisico e finanziario del progetto secondo quanto previsto dall’art. 22.2 lettera d) del Regolamento (UE) 2021/241, e la documentazione probatoria pertinente,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 </w:t>
      </w:r>
    </w:p>
    <w:p w14:paraId="00061A96"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elaborare la rendicontazione fisica e finanziaria delle spese effettivamente sostenute, nonché predisporre, relativamente alle proprie attività, la documentazione necessaria alla dimostrazione dello svolgimento del progetto; </w:t>
      </w:r>
    </w:p>
    <w:p w14:paraId="05368F4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 </w:t>
      </w:r>
    </w:p>
    <w:p w14:paraId="1922BB9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PNRR; </w:t>
      </w:r>
    </w:p>
    <w:p w14:paraId="64840EA1"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9321EA8"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 </w:t>
      </w:r>
    </w:p>
    <w:p w14:paraId="52CEF76F"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 pena di sospensione o revoca del finanziamento in caso di accertata violazione, nell’attuazione del progetto, il rispetto del principio del “Do No </w:t>
      </w:r>
      <w:proofErr w:type="spellStart"/>
      <w:r w:rsidRPr="00B10178">
        <w:rPr>
          <w:rFonts w:ascii="Titillium" w:eastAsia="Titillium" w:hAnsi="Titillium" w:cs="Titillium"/>
          <w:color w:val="000000"/>
        </w:rPr>
        <w:t>Significant</w:t>
      </w:r>
      <w:proofErr w:type="spellEnd"/>
      <w:r w:rsidRPr="00B10178">
        <w:rPr>
          <w:rFonts w:ascii="Titillium" w:eastAsia="Titillium" w:hAnsi="Titillium" w:cs="Titillium"/>
          <w:color w:val="000000"/>
        </w:rPr>
        <w:t xml:space="preserve"> </w:t>
      </w:r>
      <w:proofErr w:type="spellStart"/>
      <w:r w:rsidRPr="00B10178">
        <w:rPr>
          <w:rFonts w:ascii="Titillium" w:eastAsia="Titillium" w:hAnsi="Titillium" w:cs="Titillium"/>
          <w:color w:val="000000"/>
        </w:rPr>
        <w:t>Harm</w:t>
      </w:r>
      <w:proofErr w:type="spellEnd"/>
      <w:r w:rsidRPr="00B10178">
        <w:rPr>
          <w:rFonts w:ascii="Titillium" w:eastAsia="Titillium" w:hAnsi="Titillium" w:cs="Titillium"/>
          <w:color w:val="000000"/>
        </w:rPr>
        <w:t xml:space="preserve">”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 </w:t>
      </w:r>
    </w:p>
    <w:p w14:paraId="68F74672"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assicurare il rispetto della normativa vigente sugli aiuti di Stato; </w:t>
      </w:r>
    </w:p>
    <w:p w14:paraId="71567D8B"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assicurare che le spese del progetto non siano oggetto di altri finanziamenti, contributi o agevolazioni a valere su fondi pubblici nazionali e/o comunitari; </w:t>
      </w:r>
    </w:p>
    <w:p w14:paraId="1E1B408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partecipare, ove richiesto, alle riunioni convocate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o dall’HUB; </w:t>
      </w:r>
    </w:p>
    <w:p w14:paraId="168808DD"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in sede risarcitoria per qualsiasi perdita, danno o eventuale lesione derivanti da fatti, azioni o omissioni propri e/o dei propri dipendenti e collaboratori; </w:t>
      </w:r>
    </w:p>
    <w:p w14:paraId="7BC8BD21"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individuare eventuali fattori che possano determinare ritardi che incidano in maniera considerevole sulla tempistica attuativa e di spesa definita nel progetto, relazionando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sugli stessi; </w:t>
      </w:r>
    </w:p>
    <w:p w14:paraId="5F0C99B1"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notificare tempestivamente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affinché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lo notifichi all’Hub e se necessario l’Hub al MUR, qualsiasi informazione significativa, fatto, problema o ritardo che possa influire sul progetto; </w:t>
      </w:r>
    </w:p>
    <w:p w14:paraId="0170FB2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adottare principi di sana gestione finanziaria, in particolare in materia di prevenzione dei conflitti di interessi, delle frodi, della corruzione, obbligandosi a restituire i fondi che risultassero indebitamente assegnati; </w:t>
      </w:r>
    </w:p>
    <w:p w14:paraId="665F2D67"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la conservazione della documentazione, tracciabilità delle operazioni, e gli adempimenti in materia di informazione, comunicazione e visibilità, previsti dalla disciplina e dalla normativa europea.  </w:t>
      </w:r>
    </w:p>
    <w:p w14:paraId="6C5DB164"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Articolo 4 - Obblighi dello </w:t>
      </w:r>
      <w:proofErr w:type="spellStart"/>
      <w:r w:rsidRPr="00B10178">
        <w:rPr>
          <w:rFonts w:ascii="Titillium" w:eastAsia="Titillium" w:hAnsi="Titillium" w:cs="Titillium"/>
          <w:b/>
        </w:rPr>
        <w:t>Spoke</w:t>
      </w:r>
      <w:proofErr w:type="spellEnd"/>
      <w:r w:rsidRPr="00B10178">
        <w:rPr>
          <w:rFonts w:ascii="Titillium" w:eastAsia="Titillium" w:hAnsi="Titillium" w:cs="Titillium"/>
          <w:b/>
        </w:rPr>
        <w:t xml:space="preserve"> </w:t>
      </w:r>
    </w:p>
    <w:p w14:paraId="616B40FD"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si obbliga a: </w:t>
      </w:r>
    </w:p>
    <w:p w14:paraId="6AA906E5"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717A68FD"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valutare tempestivamente la documentazione trasmessa dal Beneficiario in sede di monitoraggio e rendicontazione delle spese e dei risultati;</w:t>
      </w:r>
    </w:p>
    <w:p w14:paraId="001A9E09"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assicurare l’utilizzo del sistema di registrazione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182D76F2"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fornire le informazioni riguardanti il sistema di gestione e controllo attraverso la Descrizione delle funzioni e delle procedure in essere dell’Amministrazione responsabile /Ufficio e la relativa </w:t>
      </w:r>
      <w:r w:rsidRPr="00B10178">
        <w:rPr>
          <w:rFonts w:ascii="Titillium" w:eastAsia="Titillium" w:hAnsi="Titillium" w:cs="Titillium"/>
          <w:color w:val="000000"/>
        </w:rPr>
        <w:lastRenderedPageBreak/>
        <w:t xml:space="preserve">manualistica allegata, nel rispetto di quanto previsto dall’articolo 8 punto 3 del decreto-legge n. 77 del 31/05/2021, come modificato dalla legge di conversione 29 luglio 2021, n. 108; </w:t>
      </w:r>
    </w:p>
    <w:p w14:paraId="2338D3D2"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informare l’HUB in merito ad eventuali incongruenze e possibili irregolarità riscontrate nel corso dell’attuazione del progetto che possano avere ripercussioni sugli interventi gestiti dallo stesso; </w:t>
      </w:r>
    </w:p>
    <w:p w14:paraId="5622E015"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informare l’HUB dell’inclusione del finanziamento nell’elenco delle operazioni e fornirgli informazioni e strumenti di comunicazione di supporto, nel rispetto di quanto previsto dall’art. 34 del Regolamento (UE) n. 2021/241.</w:t>
      </w:r>
    </w:p>
    <w:p w14:paraId="12FB6BE9"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5 - Utilizzo dei segni distintivi, titolarità dei risultati della ricerca, tutela e valorizzazione dei risultati brevettabili</w:t>
      </w:r>
    </w:p>
    <w:p w14:paraId="52677AC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Le Parti sono tenute a rispettare gli obblighi previsti dalle Linee Guida per la comunicazione rilasciate dal MUR per la Missione 4 Componente 2 Innovazione e Ricerca per lo svolgimento di attività di comunicazione relative al Progetto.</w:t>
      </w:r>
    </w:p>
    <w:p w14:paraId="66DEC3F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Resta inteso che ogni altro uso dei segni distintivi delle Parti diverso da quello sopra indicato dovrà essere espressamente autorizzato dalle Parti medesime.</w:t>
      </w:r>
    </w:p>
    <w:p w14:paraId="0B0FDA9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titolarità dei risultati prodotti nell’ambito del progetto finanziato sarà congiunta tra le parti. Ciascuno dei contitolari potrà utilizzare liberamente tali risultati nella propria attività di ricerca, didattica o imprenditoriale. </w:t>
      </w:r>
    </w:p>
    <w:p w14:paraId="7A422EE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produzione di risultati tutelabili mediante brevetto o altra forma di privativa industriale, i contitolari concorderanno le modalità di tutela e di valorizzazione di tali risultati mediante un accordo negoziato successivamente alla produzione dei risultati stessi. In ogni caso è fatto divieto a ciascun contitolare di sottoscrivere accordi di valorizzazione economica dei risultati del progetto (ad es. licenza, cessione, opzione) senza il consenso scritto dell’altro contitolare.</w:t>
      </w:r>
    </w:p>
    <w:p w14:paraId="580ED991" w14:textId="77777777" w:rsidR="00BB647A" w:rsidRPr="00B10178" w:rsidRDefault="00BB647A" w:rsidP="00BB647A">
      <w:pPr>
        <w:spacing w:before="280" w:after="280" w:line="288" w:lineRule="auto"/>
        <w:jc w:val="center"/>
        <w:rPr>
          <w:rFonts w:ascii="Titillium" w:eastAsia="Titillium" w:hAnsi="Titillium" w:cs="Titillium"/>
        </w:rPr>
      </w:pPr>
      <w:r w:rsidRPr="00B10178">
        <w:rPr>
          <w:rFonts w:ascii="Titillium" w:eastAsia="Titillium" w:hAnsi="Titillium" w:cs="Titillium"/>
          <w:b/>
        </w:rPr>
        <w:t>Articolo 6 - Procedure di monitoraggio, rendicontazione delle spese e risultati</w:t>
      </w:r>
    </w:p>
    <w:p w14:paraId="4CBD749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In ogni caso, il Beneficiario del finanziamento si impegna a adottare il sistema informatico utilizzato dal MUR “</w:t>
      </w:r>
      <w:proofErr w:type="spellStart"/>
      <w:r w:rsidRPr="00B10178">
        <w:rPr>
          <w:rFonts w:ascii="Titillium" w:eastAsia="Titillium" w:hAnsi="Titillium" w:cs="Titillium"/>
        </w:rPr>
        <w:t>AtWork</w:t>
      </w:r>
      <w:proofErr w:type="spellEnd"/>
      <w:r w:rsidRPr="00B10178">
        <w:rPr>
          <w:rFonts w:ascii="Titillium" w:eastAsia="Titillium" w:hAnsi="Titillium" w:cs="Titillium"/>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w:t>
      </w:r>
    </w:p>
    <w:p w14:paraId="1B2F2B7D"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Per le modalità di gestione, monitoraggio, la rendicontazione e la documentazione da produrre per garantire la corretta attuazione dell’intervento e il monitoraggio degli interventi si rinvia alla </w:t>
      </w:r>
      <w:r w:rsidRPr="00B10178">
        <w:rPr>
          <w:rFonts w:ascii="Titillium" w:eastAsia="Titillium" w:hAnsi="Titillium" w:cs="Titillium"/>
        </w:rPr>
        <w:lastRenderedPageBreak/>
        <w:t xml:space="preserve">documentazione descrittiva delle modalità di gestione e attuazione emanate dal MUR e </w:t>
      </w:r>
      <w:proofErr w:type="spellStart"/>
      <w:r w:rsidRPr="00B10178">
        <w:rPr>
          <w:rFonts w:ascii="Titillium" w:eastAsia="Titillium" w:hAnsi="Titillium" w:cs="Titillium"/>
        </w:rPr>
        <w:t>s.m.i.</w:t>
      </w:r>
      <w:proofErr w:type="spellEnd"/>
      <w:r w:rsidRPr="00B10178">
        <w:rPr>
          <w:rFonts w:ascii="Titillium" w:eastAsia="Titillium" w:hAnsi="Titillium" w:cs="Titillium"/>
        </w:rPr>
        <w:t>, nel rispetto dell’articolo 8, punto 3 del decreto-legge n. 77 del 31 maggio 2021, come modificato dalla Legge di conversione 29 luglio 2021, n. 108.</w:t>
      </w:r>
    </w:p>
    <w:p w14:paraId="7BA4115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Secondo le tempistiche definite dall’HUB, il Beneficiario dovrà trasmettere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che è tenuto a verificare, la documentazione specifica amministrativo-contabile richiesta relativamente a ciascuna procedura di affidamento e a ciascun atto giustificativo di spesa e di pagamento, nonché la complessiva rendicontazione delle spese sostenute, nonché tutti i documenti aggiuntivi eventualmente richiesti dal MUR e dall’Hub stesso.</w:t>
      </w:r>
    </w:p>
    <w:p w14:paraId="6039C93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tutto quanto non previsto dal presente articolo, si rinvia alle modalità di rendicontazione dettagliate nel Bando. </w:t>
      </w:r>
    </w:p>
    <w:p w14:paraId="23E8121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 xml:space="preserve">Articolo 7 </w:t>
      </w:r>
      <w:r w:rsidRPr="00B10178">
        <w:rPr>
          <w:rFonts w:ascii="Titillium" w:eastAsia="Titillium" w:hAnsi="Titillium" w:cs="Titillium"/>
          <w:color w:val="000000"/>
        </w:rPr>
        <w:t xml:space="preserve">- </w:t>
      </w:r>
      <w:r w:rsidRPr="00B10178">
        <w:rPr>
          <w:rFonts w:ascii="Titillium" w:eastAsia="Titillium" w:hAnsi="Titillium" w:cs="Titillium"/>
          <w:b/>
          <w:color w:val="000000"/>
        </w:rPr>
        <w:t>Procedura di erogazione</w:t>
      </w:r>
    </w:p>
    <w:p w14:paraId="190A425D"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La procedura di erogazione delle agevolazioni è svolta in linea con quanto definito dal Bando. </w:t>
      </w:r>
    </w:p>
    <w:p w14:paraId="39A0ACF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riceve dalla Fondazione i finanziamenti in ragione del piano delle attività da svolgere e provvede alla rendicontazione delle proprie spese, nonché all’approvazione della rendicontazione delle spese dei soggetti terzi vincitori dei bandi a cascata. </w:t>
      </w:r>
    </w:p>
    <w:p w14:paraId="641989DA"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L’erogazione del contributo pubblico è disposta sulla base dei costi effettivamente sostenuti e della realizzazione degli obiettivi fissati, positivamente valutati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nonché dalla verifica della sussistenza dei requisiti e delle condizioni previsti dal Bando. </w:t>
      </w:r>
    </w:p>
    <w:p w14:paraId="42CA5A85"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L’erogazione dell’agevolazione è preceduta dalla verifica:</w:t>
      </w:r>
    </w:p>
    <w:p w14:paraId="67FF707D"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della regolarità contributiva (DURC) e fiscale,</w:t>
      </w:r>
    </w:p>
    <w:p w14:paraId="4D8B52E3"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del rispetto della normativa antimafia;</w:t>
      </w:r>
    </w:p>
    <w:p w14:paraId="74F7A262"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dell’assenza di procedure concorsuali nei confronti del Soggetto </w:t>
      </w:r>
      <w:proofErr w:type="spellStart"/>
      <w:r w:rsidRPr="00B10178">
        <w:rPr>
          <w:rFonts w:ascii="Titillium" w:eastAsia="Titillium" w:hAnsi="Titillium" w:cs="Titillium"/>
          <w:color w:val="000000"/>
        </w:rPr>
        <w:t>Benificiario</w:t>
      </w:r>
      <w:proofErr w:type="spellEnd"/>
      <w:r w:rsidRPr="00B10178">
        <w:rPr>
          <w:rFonts w:ascii="Titillium" w:eastAsia="Titillium" w:hAnsi="Titillium" w:cs="Titillium"/>
          <w:color w:val="000000"/>
        </w:rPr>
        <w:t xml:space="preserve"> previste dalla Legge Fallimentare e da altre leggi speciali;</w:t>
      </w:r>
    </w:p>
    <w:p w14:paraId="5B1D7439"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dell’assenza di procedimenti in corso per la dichiarazione di una di tali situazioni e dalla verifica di non trovarsi in stato di liquidazione volontaria.</w:t>
      </w:r>
    </w:p>
    <w:p w14:paraId="14009AD5"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DURC irregolare o di carichi fiscali pendenti,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sospende il pagamento in attesa della regolarizzazione.</w:t>
      </w:r>
    </w:p>
    <w:p w14:paraId="764094F9"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informazione antimafia irregolare,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avvierà il procedimento di revoca del contributo concesso e provvederà quindi al recupero degli aiuti nel frattempo già eventualmente erogati.</w:t>
      </w:r>
    </w:p>
    <w:p w14:paraId="26A00C1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bookmarkStart w:id="1" w:name="_heading=h.3o7alnk" w:colFirst="0" w:colLast="0"/>
      <w:bookmarkEnd w:id="1"/>
      <w:r w:rsidRPr="00B10178">
        <w:rPr>
          <w:rFonts w:ascii="Titillium" w:eastAsia="Titillium" w:hAnsi="Titillium" w:cs="Titillium"/>
          <w:color w:val="000000"/>
        </w:rPr>
        <w:t xml:space="preserve">Nel caso di esito favorevole dei controlli sopra indicati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si impegna a trasferire i finanziamenti di competenza ai soggetti beneficiari dopo aver effettivamente ricevuto l’erogazione dall’Hub ed entro 20 gg dal suo provvedimento di approvazione dell’erogazione del contributo in esito ai suddetti controlli. </w:t>
      </w:r>
    </w:p>
    <w:p w14:paraId="64FDB7E2"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Il Beneficiario sarà finanziato solo in relazione a costi ammissibili, debitamente giustificati, fino a un importo non superiore alla quota assegnata.</w:t>
      </w:r>
    </w:p>
    <w:p w14:paraId="748442E6"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Resta inteso che i costi sostenuti dal Beneficiario che non risultino coerenti con le regole di rendicontazione saranno a carico del Beneficiario che li ha impropriamente sostenuti o non adeguatamente e/o correttamente rendicontati. In tal caso, il Beneficiario riconosce il diritto dello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di recuperare le somme da restituire al MUR, anche escutendo le garanzie prestate come previste dall’art. 8.</w:t>
      </w:r>
    </w:p>
    <w:p w14:paraId="11075DAE" w14:textId="77777777" w:rsidR="00BB647A" w:rsidRPr="00B10178" w:rsidRDefault="00000000"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sdt>
        <w:sdtPr>
          <w:tag w:val="goog_rdk_9"/>
          <w:id w:val="1184633237"/>
        </w:sdtPr>
        <w:sdtContent/>
      </w:sdt>
      <w:r w:rsidR="00BB647A" w:rsidRPr="00B10178">
        <w:rPr>
          <w:rFonts w:ascii="Titillium" w:eastAsia="Titillium" w:hAnsi="Titillium" w:cs="Titillium"/>
          <w:b/>
          <w:color w:val="000000"/>
        </w:rPr>
        <w:t xml:space="preserve">Articolo 8 </w:t>
      </w:r>
      <w:r w:rsidR="00BB647A" w:rsidRPr="00B10178">
        <w:rPr>
          <w:rFonts w:ascii="Titillium" w:eastAsia="Titillium" w:hAnsi="Titillium" w:cs="Titillium"/>
          <w:color w:val="000000"/>
        </w:rPr>
        <w:t>–</w:t>
      </w:r>
      <w:r w:rsidR="00BB647A" w:rsidRPr="00B10178">
        <w:rPr>
          <w:rFonts w:ascii="Titillium" w:eastAsia="Titillium" w:hAnsi="Titillium" w:cs="Titillium"/>
          <w:b/>
          <w:color w:val="000000"/>
        </w:rPr>
        <w:t xml:space="preserve"> Anticipazioni e garanzie </w:t>
      </w:r>
    </w:p>
    <w:p w14:paraId="62A193E2"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Nel caso in cui il Beneficiario chieda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un anticipo del finanziamento concesso,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si impegna ad erogare l’anticipo nella misura del 30%.</w:t>
      </w:r>
    </w:p>
    <w:p w14:paraId="6BB31D5D"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In tal caso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richiede le garanzie, come dettagliato nel bando e secondo le disposizioni del presente articolo. </w:t>
      </w:r>
    </w:p>
    <w:p w14:paraId="517A77F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Soggetti Beneficiari di natura privata, l’erogazione dell’anticipazione è subordinata alla produzione e al mantenimento di fidejussione bancaria o assicurativa a beneficio dello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rilasciata da primari Istituti di finanziari e di credito iscritti all’albo ex art. 106 D.lgs. n. 385/1993, parametrata sulla base dell’importo complessivo del progetto, autonoma, irrevocabile, incondizionata, escutibile a prima richiesta e con validità pari alla durata prevista del progetto.</w:t>
      </w:r>
    </w:p>
    <w:p w14:paraId="6258157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La fidejussione sarà progressivamente svincolata a misura dell’avanzamento dell’esecuzione delle attività progettuali, cessando automaticamente la sua efficacia alla conclusione del progetto di ricerca. </w:t>
      </w:r>
    </w:p>
    <w:p w14:paraId="683C69E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ciò che concerne i soggetti pubblici, il MUR, con nota fornita dal MUR “PNRR MUR – M4C2 – Investimento 1.4 - Avviso “Centri Nazionali” – Investimento 1.5. “Ecosistemi dell’Innovazione” Circolare interpretativa" ha chiarito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in qualsiasi momento e con detrazione su ogni altra erogazione o contributo da assegnare agli stessi anche in base ad altro titolo. </w:t>
      </w:r>
    </w:p>
    <w:p w14:paraId="70B8479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Si può far ricorso a tale meccanismo di compensazione anche nel caso in cui Enti non vigilati dal MUR dispongano di fondi di funzionamento di competenza, da comunicazione delle Amministrazioni vigilanti della modalità di recupero. </w:t>
      </w:r>
    </w:p>
    <w:p w14:paraId="689F6949"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Beneficiario accetta espressamente le suddette modalità di erogazione dell’anticipazione e delle erogazioni, nonché delle relative modalità di recupero. </w:t>
      </w:r>
    </w:p>
    <w:p w14:paraId="4696F1E8"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lastRenderedPageBreak/>
        <w:t>Articolo 9 - Variazioni del progetto</w:t>
      </w:r>
    </w:p>
    <w:p w14:paraId="27CB29B3"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Non saranno ammissibili le variazioni relative alle attività progettuali, ma possono essere riconosciute varianti in corso d’opera quali: </w:t>
      </w:r>
    </w:p>
    <w:p w14:paraId="380B7864"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 variazioni soggettive, consentite solo nelle ipotesi di operazioni societarie straordinarie del Soggetto Beneficiario (es. fusioni e/o incorporazioni); </w:t>
      </w:r>
    </w:p>
    <w:p w14:paraId="2B166F4B"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 variazioni oggettive, riguardanti la durata, il piano dei costi e delle attività del progetto approvato solo previa tempestiva e obbligatoria comunicazione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per poter essere sottoposte alla necessaria e conseguente valutazione e approvazione da parte dello </w:t>
      </w:r>
      <w:proofErr w:type="spellStart"/>
      <w:r w:rsidRPr="00B10178">
        <w:rPr>
          <w:rFonts w:ascii="Titillium" w:eastAsia="Titillium" w:hAnsi="Titillium" w:cs="Titillium"/>
        </w:rPr>
        <w:t>Spoke</w:t>
      </w:r>
      <w:proofErr w:type="spellEnd"/>
      <w:r w:rsidRPr="00B10178">
        <w:rPr>
          <w:rFonts w:ascii="Titillium" w:eastAsia="Titillium" w:hAnsi="Titillium" w:cs="Titillium"/>
        </w:rPr>
        <w:t>.</w:t>
      </w:r>
    </w:p>
    <w:p w14:paraId="16B8575B"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Il Beneficiario può, inoltre, apportare variazioni tecniche e/o economiche alle proprie attività finanziate a condizione che: richieda e ottenga la preventiva approvazione da parte dello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permanga la compatibilità del progetto con quanto previsto dal Bando; non comporti una variazione sostanziale rispetto agli obiettivi, risultati e impatti del progetto iniziale; non comporti un aumento delle agevolazioni concesse; non siano presentate negli ultimi </w:t>
      </w:r>
      <w:proofErr w:type="gramStart"/>
      <w:r w:rsidRPr="00B10178">
        <w:rPr>
          <w:rFonts w:ascii="Titillium" w:eastAsia="Titillium" w:hAnsi="Titillium" w:cs="Titillium"/>
        </w:rPr>
        <w:t>2</w:t>
      </w:r>
      <w:proofErr w:type="gramEnd"/>
      <w:r w:rsidRPr="00B10178">
        <w:rPr>
          <w:rFonts w:ascii="Titillium" w:eastAsia="Titillium" w:hAnsi="Titillium" w:cs="Titillium"/>
        </w:rPr>
        <w:t xml:space="preserve"> mesi di durata del progetto. </w:t>
      </w:r>
    </w:p>
    <w:p w14:paraId="38FBFFFF"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10 - Revoca</w:t>
      </w:r>
    </w:p>
    <w:p w14:paraId="3698AD7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L’agevolazione concessa potrà essere revocata totalmente o parzialmente in caso di inadempimento o di violazione degli obblighi previsti dal Bando, nonché nel caso di mancato possesso e di perdita dei requisiti di ammissibilità al Bando con conseguente obbligo di restituzione totale o parziale dell’importo del contributo già erogato oltre agli interessi.</w:t>
      </w:r>
    </w:p>
    <w:p w14:paraId="1A442B5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 titolo esemplificativo e non esaustivo, la revoca potrà intervenire nei seguenti casi, anche in linea con quanto disposto dall’art. 17, comma 2 lett. a) e ss. del DM n. 1314 del 14 dicembre 2021:</w:t>
      </w:r>
    </w:p>
    <w:p w14:paraId="443F7269"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assenza originaria dei requisiti soggettivi od oggettivi di ammissibilità o di conformità previsti dal Bando;</w:t>
      </w:r>
    </w:p>
    <w:p w14:paraId="5114FCC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perdita dei requisiti soggettivi o oggettivi di ammissibilità o di conformità previsti dal Bando, durante l’esecuzione del progetto ad esclusione di quelli relativi alla dimensione di impresa;</w:t>
      </w:r>
    </w:p>
    <w:p w14:paraId="2D319DC8" w14:textId="77777777" w:rsidR="00BB647A" w:rsidRPr="00B10178" w:rsidRDefault="00000000"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sdt>
        <w:sdtPr>
          <w:tag w:val="goog_rdk_10"/>
          <w:id w:val="-1220198582"/>
        </w:sdtPr>
        <w:sdtContent/>
      </w:sdt>
      <w:r w:rsidR="00BB647A" w:rsidRPr="00B10178">
        <w:rPr>
          <w:rFonts w:ascii="Titillium" w:eastAsia="Titillium" w:hAnsi="Titillium" w:cs="Titillium"/>
          <w:color w:val="000000"/>
        </w:rPr>
        <w:t>trasferimento della sede di intervento al di fuori del perimetro territoriale ammissibile;</w:t>
      </w:r>
    </w:p>
    <w:p w14:paraId="637ECC6F"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difforme esecuzione del Progetto di ricerca finanziato ovvero mancato raggiungimento, nei tempi assegnati, delle milestones e ai target, intermedi e finali, associati Progetto di ricerca;</w:t>
      </w:r>
    </w:p>
    <w:p w14:paraId="1275A2CE"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assenza di uno o più requisiti di ammissibilità non sanabili ed imputabile al Soggetto </w:t>
      </w:r>
      <w:proofErr w:type="spellStart"/>
      <w:r w:rsidRPr="00B10178">
        <w:rPr>
          <w:rFonts w:ascii="Titillium" w:eastAsia="Titillium" w:hAnsi="Titillium" w:cs="Titillium"/>
          <w:color w:val="000000"/>
        </w:rPr>
        <w:t>Benificiario</w:t>
      </w:r>
      <w:proofErr w:type="spellEnd"/>
      <w:r w:rsidRPr="00B10178">
        <w:rPr>
          <w:rFonts w:ascii="Titillium" w:eastAsia="Titillium" w:hAnsi="Titillium" w:cs="Titillium"/>
          <w:color w:val="000000"/>
        </w:rPr>
        <w:t xml:space="preserve">; </w:t>
      </w:r>
    </w:p>
    <w:p w14:paraId="45F3829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provvedimenti definitivi di altre Autorità vigilanti che comportino la perdita dei benefici concessi;</w:t>
      </w:r>
    </w:p>
    <w:p w14:paraId="29E4C454"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mancato rispetto degli obblighi previsti dal Bando, dal provvedimento di concessione del contributo, dal Atto d’Obbligo o dalla normativa di riferimento in capo al Beneficiario; </w:t>
      </w:r>
    </w:p>
    <w:p w14:paraId="484C8137"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presentazione di dichiarazioni mendaci riguardanti requisiti o fatti essenziali per la concessione o la permanenza dell’agevolazione; </w:t>
      </w:r>
    </w:p>
    <w:p w14:paraId="3A05E56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non si renda disponibile ai controlli in loco o non produca i documenti richiesti in sede di verifica; </w:t>
      </w:r>
    </w:p>
    <w:p w14:paraId="0F3DC89B"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durante l’esecuzione del progetto, sia assoggettato a fallimento, liquidazione coatta amministrativa, concordato fallimentare o preventivo o altre procedure concorsuali oppure alle procedure disciplinate dal d.lgs. 14/2019, salvo il caso di concordato preventivo con continuità aziendale e gli altri casi in cui l’attività d’impresa prosegua; </w:t>
      </w:r>
    </w:p>
    <w:p w14:paraId="50459A48"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durante l’esecuzione del progetto si trovi in stato di liquidazione volontaria, scioglimento, cessazione, inattività dell’azienda di fatto o di diritto; </w:t>
      </w:r>
    </w:p>
    <w:p w14:paraId="193C89EF"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interrompa l’intervento per cause imputabili al Beneficiario; </w:t>
      </w:r>
    </w:p>
    <w:p w14:paraId="42845E2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6B1BFCB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accertamento della violazione dei principi generali di DNSH, e dei principi trasversali previsti dal PNRR, quali, tra gli altri, il principio del contributo all’obiettivo climatico e digitale (c.d. tagging), in caso di mancato rispetto delle previsioni stabilite dai regolamenti comunitari e nazionali di riferimento per l’attuazione del PNRR;</w:t>
      </w:r>
    </w:p>
    <w:p w14:paraId="2BB9F0F0"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mancato conseguimento dei criteri di ammissibilità di cui al Bando; </w:t>
      </w:r>
    </w:p>
    <w:p w14:paraId="175CEA8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mancato rispetto di qualsiasi delle ulteriori previsioni stabilite dai regolamenti comunitari e nazionali di riferimento per l’attuazione del PNRR;</w:t>
      </w:r>
    </w:p>
    <w:p w14:paraId="629EE20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MUR proceda alla revoca totale e parziale del finanziamento secondo quanto indicato nell’art. 22 dell’Avviso del 16 dicembre 2021 n. 3138 finalizzato alla creazione di "campioni nazionali" di R&amp;S su alcune Key </w:t>
      </w:r>
      <w:proofErr w:type="spellStart"/>
      <w:r w:rsidRPr="00B10178">
        <w:rPr>
          <w:rFonts w:ascii="Titillium" w:eastAsia="Titillium" w:hAnsi="Titillium" w:cs="Titillium"/>
          <w:color w:val="000000"/>
        </w:rPr>
        <w:t>Enabling</w:t>
      </w:r>
      <w:proofErr w:type="spellEnd"/>
      <w:r w:rsidRPr="00B10178">
        <w:rPr>
          <w:rFonts w:ascii="Titillium" w:eastAsia="Titillium" w:hAnsi="Titillium" w:cs="Titillium"/>
          <w:color w:val="000000"/>
        </w:rPr>
        <w:t xml:space="preserve"> Technologies. </w:t>
      </w:r>
    </w:p>
    <w:p w14:paraId="04516F2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revoca totale, il Beneficiario non avrà diritto all’erogazione di alcunché e si obbliga a restituire in tutto o in parte l’importo del contributo eventualmente già da esso percepito, oltre agli interessi al tasso di riferimento UE, entro 15 giorni dalla richiesta ad esso formulata per iscritto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w:t>
      </w:r>
    </w:p>
    <w:p w14:paraId="4322BBE8"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revoca parziale,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dispone la valutazione inerente </w:t>
      </w:r>
      <w:proofErr w:type="gramStart"/>
      <w:r w:rsidRPr="00B10178">
        <w:rPr>
          <w:rFonts w:ascii="Titillium" w:eastAsia="Titillium" w:hAnsi="Titillium" w:cs="Titillium"/>
          <w:color w:val="000000"/>
        </w:rPr>
        <w:t>lo</w:t>
      </w:r>
      <w:proofErr w:type="gramEnd"/>
      <w:r w:rsidRPr="00B10178">
        <w:rPr>
          <w:rFonts w:ascii="Titillium" w:eastAsia="Titillium" w:hAnsi="Titillium" w:cs="Titillium"/>
          <w:color w:val="000000"/>
        </w:rPr>
        <w:t xml:space="preserve"> stato di avanzamento, del livello di raggiungimento degli obiettivi e della autonoma funzionalità della parte correttamente realizzata. Sulla base degli esiti,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determina gli importi da revocare e disimpegnare, le somme da riconoscere al Beneficiario, le erogazioni da effettuare ovvero gli importi per i quali disporre il recupero, maggiorati degli interessi previsti per legge. </w:t>
      </w:r>
    </w:p>
    <w:p w14:paraId="268F93B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Il tasso applicabile per il calcolo degli interessi è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6D22A48D"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11 - Rinuncia</w:t>
      </w:r>
    </w:p>
    <w:p w14:paraId="650FA397"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Nel caso in cui il Beneficiario intenda rinunciare alla richiesta di contributo o all’agevolazione concessa, dovrà comunicarlo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a mezzo PEC all’indirizzo dipartimento.biomed@pec.unipd.it. Nel caso in cui la rinuncia avvenga dopo la concessione, il Beneficiario sarà tenuto alla restituzione dell’importo di agevolazione erogato e non ancora restituito - ove fossero già avvenute erogazioni - oltre agli interessi, secondo il tasso di cui al citato art. 10.  </w:t>
      </w:r>
    </w:p>
    <w:p w14:paraId="2403C720"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In caso di rinuncia il Beneficiario non avrà diritto all’erogazione di alcunché e si obbliga a restituire in tutto l’importo del contributo eventualmente già da esso percepito, oltre agli interessi al tasso di riferimento UE indicato al medesimo, entro 15 giorni dalla richiesta ad esso formulata per iscritto dallo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w:t>
      </w:r>
    </w:p>
    <w:p w14:paraId="3FFAE659"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12 - Conservazione della documentazione</w:t>
      </w:r>
    </w:p>
    <w:p w14:paraId="1763C85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Il Beneficiario garantisce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6A0A5E11"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13 - Disimpegno delle risorse</w:t>
      </w:r>
    </w:p>
    <w:p w14:paraId="2AC79A8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L’eventuale disimpegno delle risorse del Piano, previsto dall’articolo 24 del Reg. 2021/241 e dall’articolo 8 della legge n. 77 del 31/05/2021, come modificato dalla legge di conversione 29 luglio 2021, n. 108, comporta ad opera dell’HUB la riduzione o la revoca delle risorse relative ai progetti che non hanno </w:t>
      </w:r>
      <w:r w:rsidRPr="00B10178">
        <w:rPr>
          <w:rFonts w:ascii="Titillium" w:eastAsia="Titillium" w:hAnsi="Titillium" w:cs="Titillium"/>
          <w:color w:val="000000"/>
        </w:rPr>
        <w:lastRenderedPageBreak/>
        <w:t xml:space="preserve">raggiunto gli obiettivi previsti. Tale riduzione o revoca saranno comunicate, con preavviso di almeno 15 giorni, dall’Hub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e da quest’ultimo al Beneficiario, che nulla potrà eccepire al riguardo. </w:t>
      </w:r>
    </w:p>
    <w:p w14:paraId="4680EE09"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14 - Diritto di recesso</w:t>
      </w:r>
    </w:p>
    <w:p w14:paraId="5B38AEC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previa comunicazione al Beneficiario con preavviso di 15 giorni, potrà recedere in qualunque momento dagli impegni assunti con il presente Atto d’Obbligo nei confronti del Beneficiario qualora, a giudizio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stesso e/o dell’HUB, nel corso di svolgimento delle attività, intervengano fatti o provvedimenti che modifichino la situazione esistente all’atto della stipula del presente Atto d’Obbligo o ne rendano impossibile o inopportuna la conduzione a termine, senza che il Beneficiario possa eccepire alcunché al riguardo. </w:t>
      </w:r>
    </w:p>
    <w:p w14:paraId="2896DF0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15 - Informazione, comunicazione e visibilità</w:t>
      </w:r>
    </w:p>
    <w:p w14:paraId="3EF66F8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Beneficiario è tenuto a garantire il rispetto degli obblighi in materia di comunicazione e informazione previsti dall’articolo 34 del Regolamento (UE) 2021/241 e informare in modo chiaro che il progetto in corso di realizzazione è stato selezionato e finanziato nell’ambito del Programma ed è finanziato nell’ambito del PNRR, con esplicito riferimento al finanziamento da parte dell’Unione europea e all’iniziativa </w:t>
      </w:r>
      <w:proofErr w:type="spellStart"/>
      <w:r w:rsidRPr="00B10178">
        <w:rPr>
          <w:rFonts w:ascii="Titillium" w:eastAsia="Titillium" w:hAnsi="Titillium" w:cs="Titillium"/>
          <w:color w:val="000000"/>
        </w:rPr>
        <w:t>NextGenerationEU</w:t>
      </w:r>
      <w:proofErr w:type="spellEnd"/>
      <w:r w:rsidRPr="00B10178">
        <w:rPr>
          <w:rFonts w:ascii="Titillium" w:eastAsia="Titillium" w:hAnsi="Titillium" w:cs="Titillium"/>
          <w:color w:val="000000"/>
        </w:rPr>
        <w:t xml:space="preserve"> (ad es. utilizzando la frase “finanziato dall’Unione europea –</w:t>
      </w:r>
      <w:proofErr w:type="spellStart"/>
      <w:r w:rsidRPr="00B10178">
        <w:rPr>
          <w:rFonts w:ascii="Titillium" w:eastAsia="Titillium" w:hAnsi="Titillium" w:cs="Titillium"/>
          <w:color w:val="000000"/>
        </w:rPr>
        <w:t>NextGenerationEU</w:t>
      </w:r>
      <w:proofErr w:type="spellEnd"/>
      <w:r w:rsidRPr="00B10178">
        <w:rPr>
          <w:rFonts w:ascii="Titillium" w:eastAsia="Titillium" w:hAnsi="Titillium" w:cs="Titillium"/>
          <w:color w:val="000000"/>
        </w:rPr>
        <w:t>), riportando nella documentazione progettuale l’emblema dell’Unione europea e fornire un’adeguata diffusione e promozione del progetto e del Programma, anche online, sia web che social, in linea con quanto previsto dalla Strategia di Comunicazione del PNRR.</w:t>
      </w:r>
    </w:p>
    <w:p w14:paraId="0F223890"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16 - Trattamento Dati</w:t>
      </w:r>
    </w:p>
    <w:p w14:paraId="2EE0929A"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Ciascuna Parte si riconosce - ai sensi del Regolamento (UE) n. 679 del 27 aprile 2016 relativo alla protezione delle persone fisiche con riguardo al trattamento dei dati personali, nonché alla libera circolazione di tali dati e che abroga la direttiva 95/46/CE (Regolamento generale sulla protezione dei da"), di seguito “GDPR” - titolare del trattamento dei dati personali, per i dati di propria competenza, effettuato con o senza l'ausilio di processi automatizzati, necessari al fine di adempiere alle funzioni istituzionali ed agli obblighi normativi e a quelli correlati all’attuazione del presente Atto. </w:t>
      </w:r>
    </w:p>
    <w:p w14:paraId="7864F0D0"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 titolare è autonomo e risponde dei trattamenti che gestisce sotto la propria responsabilità e rispetto ai quali ha un potere di controllo sulle strutture organizzative e sulle attrezzature, anche informatiche, di cui si avvale nel trattamento stesso. </w:t>
      </w:r>
    </w:p>
    <w:p w14:paraId="537757B8"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Nell’ambito delle finalità di tale atto e dell’espletamento delle attività previste nell’ambito del progetto di ricerca di cui alle premesse, risultano oggetto di trattamento dati personali comuni, ai sensi dell’art. 4, n. 1 del GDPR, quali, a titolo esemplificativo, dati anagrafici, contabili e fiscali, inerenti al rapporto di lavoro. </w:t>
      </w:r>
    </w:p>
    <w:p w14:paraId="246D06E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Non sono oggetto di trattamento, anche le categorie particolari di dati di cui all’art. 9 del Regolamento e i dati personali relativi a condanne penali e reati di cui all’art. 10 del Regolamento.</w:t>
      </w:r>
    </w:p>
    <w:p w14:paraId="05AFD78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 17 - Legge applicabile </w:t>
      </w:r>
    </w:p>
    <w:p w14:paraId="45ECA55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L’interpretazione e l’esecuzione del presente Atto d’Obbligo, nonché i rapporti tra le Parti derivanti dallo stesso, sono regolati dalla legge italiana, con esclusione dell’applicazione delle norme di diritto internazionale privato.</w:t>
      </w:r>
    </w:p>
    <w:p w14:paraId="2290F7FE"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18 - Controversie e Foro competente</w:t>
      </w:r>
    </w:p>
    <w:p w14:paraId="2E8693E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Nel caso di controversie di qualsiasi natura, anche relative a conflitti di interessi tra le Parti, che dovessero insorgere in ordine alla interpretazione e applicazione del presente Atto d’Obbligo, le Parti si impegnano a comporre amichevolmente e secondo equità le controversie medesime.</w:t>
      </w:r>
    </w:p>
    <w:p w14:paraId="7BE3F8F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Resta inteso che eventuali controversie non pregiudicheranno in alcun modo la regolare esecuzione delle attività previste, né consentiranno alcuna sospensione delle prestazioni dovute dalle Parti, tranne nel caso in cui l’Hub non valuti diversamente.</w:t>
      </w:r>
    </w:p>
    <w:p w14:paraId="73D276CA"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Salvo ed impregiudicato quanto sopra, per ogni controversia scaturente dal presente Atto il foro competente sarà quello di Padova.</w:t>
      </w:r>
    </w:p>
    <w:p w14:paraId="6C240E9A"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19 - Risoluzione per inadempimento</w:t>
      </w:r>
    </w:p>
    <w:p w14:paraId="3E512773"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potrà avvalersi della facoltà di risolvere il presente Atto d’Obbligo qualora il Beneficiario non rispetti gli obblighi imposti a suo carico e, comunque, pregiudichi l’assolvimento da parte della stessa Amministrazione responsabile/Ufficio degli obblighi imposti dalla normativa comunitaria. </w:t>
      </w:r>
    </w:p>
    <w:p w14:paraId="4A634A35"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20</w:t>
      </w:r>
      <w:r w:rsidRPr="00B10178">
        <w:rPr>
          <w:rFonts w:ascii="Titillium" w:eastAsia="Titillium" w:hAnsi="Titillium" w:cs="Titillium"/>
          <w:color w:val="000000"/>
        </w:rPr>
        <w:t xml:space="preserve"> - </w:t>
      </w:r>
      <w:r w:rsidRPr="00B10178">
        <w:rPr>
          <w:rFonts w:ascii="Titillium" w:eastAsia="Titillium" w:hAnsi="Titillium" w:cs="Titillium"/>
          <w:b/>
          <w:color w:val="000000"/>
        </w:rPr>
        <w:t>Comunicazioni e scambio di informazioni</w:t>
      </w:r>
    </w:p>
    <w:p w14:paraId="5E22AE84"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Ai fini della digitalizzazione dell’intero ciclo di vita del progetto, tutte le comunicazioni con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devono avvenire per posta elettronica istituzionale o posta elettronica certificata, ai sensi del d.lgs. n. 82/2005. </w:t>
      </w:r>
    </w:p>
    <w:p w14:paraId="738DE0EE"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Ogni comunicazione relativa a e/o comunque connessa con l’esecuzione del presente Atto d’Obbligo, dovrà essere effettuata utilizzando i seguenti recapiti:</w:t>
      </w:r>
    </w:p>
    <w:p w14:paraId="24FB08A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 </w:t>
      </w:r>
      <w:proofErr w:type="spellStart"/>
      <w:r w:rsidRPr="00B10178">
        <w:rPr>
          <w:rFonts w:ascii="Titillium" w:eastAsia="Titillium" w:hAnsi="Titillium" w:cs="Titillium"/>
        </w:rPr>
        <w:t>Spoke</w:t>
      </w:r>
      <w:proofErr w:type="spellEnd"/>
      <w:r w:rsidRPr="00B10178">
        <w:rPr>
          <w:rFonts w:ascii="Titillium" w:eastAsia="Titillium" w:hAnsi="Titillium" w:cs="Titillium"/>
        </w:rPr>
        <w:t>: Università di Padova, Dipartimento di Scienze Biomediche</w:t>
      </w:r>
    </w:p>
    <w:p w14:paraId="4D8750E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 </w:t>
      </w:r>
      <w:proofErr w:type="spellStart"/>
      <w:r w:rsidRPr="00B10178">
        <w:rPr>
          <w:rFonts w:ascii="Titillium" w:eastAsia="Titillium" w:hAnsi="Titillium" w:cs="Titillium"/>
        </w:rPr>
        <w:t>pec</w:t>
      </w:r>
      <w:proofErr w:type="spellEnd"/>
      <w:r w:rsidRPr="00B10178">
        <w:rPr>
          <w:rFonts w:ascii="Titillium" w:eastAsia="Titillium" w:hAnsi="Titillium" w:cs="Titillium"/>
        </w:rPr>
        <w:t>: dipartimento.biomed@pec.unipd.it</w:t>
      </w:r>
    </w:p>
    <w:p w14:paraId="5B38434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Beneficiario: …….</w:t>
      </w:r>
    </w:p>
    <w:p w14:paraId="187ACB7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comunicazioni inviate ai recapiti precedentemente indicati si avranno per validamente effettuate.</w:t>
      </w:r>
    </w:p>
    <w:p w14:paraId="39DBB286"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21 - Disposizioni finali</w:t>
      </w:r>
    </w:p>
    <w:p w14:paraId="3C5C9DEA"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Per tutto quanto qui non diversamente previsto si applicano: </w:t>
      </w:r>
    </w:p>
    <w:p w14:paraId="4822EEAD"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 disposizioni contenute nel Bando e nei relativi Allegati, approvati con determina n. ____ del _____; </w:t>
      </w:r>
    </w:p>
    <w:p w14:paraId="7F2B466C"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Progetto presentato dal Beneficiario, così come ammesso al finanziamento con la determina dirigenziale n____ del ____, di seguito allegato quale parte integrante e sostanziale del presente Atto d’Obbligo, insieme ai relativi allegati citati in premessa (</w:t>
      </w:r>
      <w:proofErr w:type="spellStart"/>
      <w:r w:rsidRPr="00B10178">
        <w:rPr>
          <w:rFonts w:ascii="Titillium" w:eastAsia="Titillium" w:hAnsi="Titillium" w:cs="Titillium"/>
          <w:color w:val="000000"/>
        </w:rPr>
        <w:t>All</w:t>
      </w:r>
      <w:proofErr w:type="spellEnd"/>
      <w:r w:rsidRPr="00B10178">
        <w:rPr>
          <w:rFonts w:ascii="Titillium" w:eastAsia="Titillium" w:hAnsi="Titillium" w:cs="Titillium"/>
          <w:color w:val="000000"/>
        </w:rPr>
        <w:t xml:space="preserve">. A, B e C). </w:t>
      </w:r>
    </w:p>
    <w:p w14:paraId="3A39AC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Qualsiasi modifica al presente Atto d’Obbligo sarà valida ed efficace solo ove stipulata per iscritto e a seguito della sottoscrizione delle Parti.</w:t>
      </w:r>
    </w:p>
    <w:p w14:paraId="51A6E8D9"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Per quanto non eventualmente previsto nel presente Atto d’Obbligo, le Parti si impegnano a instaurare delle trattative al fine di definire secondo buona fede gli aspetti che vengano di volta in volta in rilievo.</w:t>
      </w:r>
    </w:p>
    <w:p w14:paraId="0B3FA567" w14:textId="77777777" w:rsidR="00BB647A" w:rsidRPr="00B10178" w:rsidRDefault="00BB647A" w:rsidP="00BB647A">
      <w:pPr>
        <w:spacing w:after="280" w:line="288" w:lineRule="auto"/>
        <w:jc w:val="both"/>
        <w:rPr>
          <w:rFonts w:ascii="Titillium" w:eastAsia="Titillium" w:hAnsi="Titillium" w:cs="Titillium"/>
        </w:rPr>
      </w:pPr>
      <w:r w:rsidRPr="00B10178">
        <w:rPr>
          <w:rFonts w:ascii="Titillium" w:eastAsia="Titillium" w:hAnsi="Titillium" w:cs="Titillium"/>
        </w:rPr>
        <w:t xml:space="preserve">Qualora una o più clausole del presente Atto d’Obbligo siano dichiarate nulle, annullabili, invalide o comunque inefficaci, in nessun caso tale nullità, annullabilità, invalidità o inefficacia avrà effetto sulle restanti clausole del Atto d’Obbligo, dovendosi intendere le </w:t>
      </w:r>
      <w:proofErr w:type="gramStart"/>
      <w:r w:rsidRPr="00B10178">
        <w:rPr>
          <w:rFonts w:ascii="Titillium" w:eastAsia="Titillium" w:hAnsi="Titillium" w:cs="Titillium"/>
        </w:rPr>
        <w:t>predette</w:t>
      </w:r>
      <w:proofErr w:type="gramEnd"/>
      <w:r w:rsidRPr="00B10178">
        <w:rPr>
          <w:rFonts w:ascii="Titillium" w:eastAsia="Titillium" w:hAnsi="Titillium" w:cs="Titillium"/>
        </w:rPr>
        <w:t xml:space="preserve"> clausole come modificate, in senso conforme alla comune intenzione delle Parti, nella misura e nel senso necessari affinché esse possano essere ritenute valide ed efficaci.</w:t>
      </w:r>
    </w:p>
    <w:p w14:paraId="23B9085B"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Si allegano: </w:t>
      </w:r>
    </w:p>
    <w:p w14:paraId="0C825DC8"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 Bando a Cascata e allegati; </w:t>
      </w:r>
    </w:p>
    <w:p w14:paraId="00548984" w14:textId="6CA3D7BC"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Procedimento n__ del_______ di assegnazione al Beneficiario del finanziamento e relativi allegati A, B e C dell’intervento</w:t>
      </w:r>
      <w:r w:rsidR="001B4DAA">
        <w:rPr>
          <w:rFonts w:ascii="Titillium" w:eastAsia="Titillium" w:hAnsi="Titillium" w:cs="Titillium"/>
        </w:rPr>
        <w:t>.</w:t>
      </w:r>
    </w:p>
    <w:sectPr w:rsidR="00BB647A" w:rsidRPr="00B10178">
      <w:headerReference w:type="default" r:id="rId9"/>
      <w:footerReference w:type="even" r:id="rId10"/>
      <w:footerReference w:type="default" r:id="rId11"/>
      <w:headerReference w:type="first" r:id="rId12"/>
      <w:pgSz w:w="11900" w:h="16840"/>
      <w:pgMar w:top="2919" w:right="701" w:bottom="1134" w:left="1134" w:header="23" w:footer="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14690" w14:textId="77777777" w:rsidR="00D361A9" w:rsidRDefault="00D361A9">
      <w:r>
        <w:separator/>
      </w:r>
    </w:p>
  </w:endnote>
  <w:endnote w:type="continuationSeparator" w:id="0">
    <w:p w14:paraId="73CAEF19" w14:textId="77777777" w:rsidR="00D361A9" w:rsidRDefault="00D36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tillium">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8" w14:textId="77777777"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14:paraId="000002F9" w14:textId="77777777" w:rsidR="00D2760A" w:rsidRDefault="00D2760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A" w14:textId="1EDC78B0"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2FB" w14:textId="77777777" w:rsidR="00D2760A" w:rsidRDefault="00D2760A">
    <w:pPr>
      <w:pBdr>
        <w:top w:val="nil"/>
        <w:left w:val="nil"/>
        <w:bottom w:val="nil"/>
        <w:right w:val="nil"/>
        <w:between w:val="nil"/>
      </w:pBdr>
      <w:tabs>
        <w:tab w:val="center" w:pos="4819"/>
        <w:tab w:val="right" w:pos="9638"/>
      </w:tabs>
      <w:ind w:left="-1134"/>
      <w:rPr>
        <w:color w:val="000000"/>
      </w:rPr>
    </w:pPr>
    <w:r>
      <w:rPr>
        <w:noProof/>
        <w:color w:val="000000"/>
      </w:rPr>
      <w:drawing>
        <wp:inline distT="0" distB="0" distL="0" distR="0" wp14:anchorId="4848A9C6" wp14:editId="26A5FC74">
          <wp:extent cx="7601613" cy="1089590"/>
          <wp:effectExtent l="0" t="0" r="0" b="0"/>
          <wp:docPr id="1923716074" name="Immagine 1923716074"/>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601613" cy="108959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21C61" w14:textId="77777777" w:rsidR="00D361A9" w:rsidRDefault="00D361A9">
      <w:r>
        <w:separator/>
      </w:r>
    </w:p>
  </w:footnote>
  <w:footnote w:type="continuationSeparator" w:id="0">
    <w:p w14:paraId="493FEE6A" w14:textId="77777777" w:rsidR="00D361A9" w:rsidRDefault="00D36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7" w14:textId="671DAACD" w:rsidR="00D2760A" w:rsidRDefault="00F25888">
    <w:pPr>
      <w:pBdr>
        <w:top w:val="nil"/>
        <w:left w:val="nil"/>
        <w:bottom w:val="nil"/>
        <w:right w:val="nil"/>
        <w:between w:val="nil"/>
      </w:pBdr>
      <w:tabs>
        <w:tab w:val="center" w:pos="4819"/>
        <w:tab w:val="right" w:pos="9638"/>
      </w:tabs>
      <w:ind w:left="-1134" w:right="-1134"/>
      <w:rPr>
        <w:color w:val="000000"/>
      </w:rPr>
    </w:pPr>
    <w:r>
      <w:rPr>
        <w:noProof/>
        <w:color w:val="000000"/>
      </w:rPr>
      <w:drawing>
        <wp:inline distT="0" distB="0" distL="0" distR="0" wp14:anchorId="782E6EAF" wp14:editId="0D1BFDD6">
          <wp:extent cx="7666892" cy="940746"/>
          <wp:effectExtent l="0" t="0" r="0" b="0"/>
          <wp:docPr id="441194684" name="Immagine 441194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787565" cy="95555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BABD" w14:textId="2EC51860" w:rsidR="00777E41" w:rsidRDefault="00777E41">
    <w:pPr>
      <w:pStyle w:val="Intestazione"/>
    </w:pPr>
    <w:r>
      <w:rPr>
        <w:noProof/>
        <w:color w:val="000000"/>
      </w:rPr>
      <w:drawing>
        <wp:anchor distT="0" distB="0" distL="114300" distR="114300" simplePos="0" relativeHeight="251658240" behindDoc="0" locked="0" layoutInCell="1" allowOverlap="1" wp14:anchorId="5A44F16A" wp14:editId="7D0446A9">
          <wp:simplePos x="0" y="0"/>
          <wp:positionH relativeFrom="column">
            <wp:posOffset>-726440</wp:posOffset>
          </wp:positionH>
          <wp:positionV relativeFrom="paragraph">
            <wp:posOffset>-1905</wp:posOffset>
          </wp:positionV>
          <wp:extent cx="7816059" cy="958850"/>
          <wp:effectExtent l="0" t="0" r="0" b="0"/>
          <wp:wrapNone/>
          <wp:docPr id="1118407942" name="Immagine 1118407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828935" cy="9604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1A00"/>
    <w:multiLevelType w:val="hybridMultilevel"/>
    <w:tmpl w:val="6D0268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E17F5"/>
    <w:multiLevelType w:val="multilevel"/>
    <w:tmpl w:val="889A0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968E1"/>
    <w:multiLevelType w:val="multilevel"/>
    <w:tmpl w:val="85662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AF71E5"/>
    <w:multiLevelType w:val="multilevel"/>
    <w:tmpl w:val="5B74F25C"/>
    <w:lvl w:ilvl="0">
      <w:start w:val="1"/>
      <w:numFmt w:val="decimal"/>
      <w:lvlText w:val="%1."/>
      <w:lvlJc w:val="left"/>
      <w:pPr>
        <w:ind w:left="720" w:hanging="360"/>
      </w:pPr>
      <w:rPr>
        <w:rFonts w:ascii="Titillium" w:eastAsia="Titillium" w:hAnsi="Titillium" w:cs="Titillium"/>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BA755D"/>
    <w:multiLevelType w:val="multilevel"/>
    <w:tmpl w:val="9C74B19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09B3587D"/>
    <w:multiLevelType w:val="hybridMultilevel"/>
    <w:tmpl w:val="E6366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963540"/>
    <w:multiLevelType w:val="multilevel"/>
    <w:tmpl w:val="1C3ED76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F142BB1"/>
    <w:multiLevelType w:val="multilevel"/>
    <w:tmpl w:val="D032C95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8265E"/>
    <w:multiLevelType w:val="multilevel"/>
    <w:tmpl w:val="23746B50"/>
    <w:lvl w:ilvl="0">
      <w:start w:val="3"/>
      <w:numFmt w:val="bullet"/>
      <w:lvlText w:val="-"/>
      <w:lvlJc w:val="left"/>
      <w:pPr>
        <w:ind w:left="720" w:hanging="360"/>
      </w:pPr>
      <w:rPr>
        <w:rFonts w:ascii="Calibri" w:eastAsia="Calibri" w:hAnsi="Calibri" w:cs="Calibri"/>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901F18"/>
    <w:multiLevelType w:val="multilevel"/>
    <w:tmpl w:val="17E4E8A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54793A"/>
    <w:multiLevelType w:val="multilevel"/>
    <w:tmpl w:val="D806E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3D1083"/>
    <w:multiLevelType w:val="multilevel"/>
    <w:tmpl w:val="50589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0D53DE"/>
    <w:multiLevelType w:val="hybridMultilevel"/>
    <w:tmpl w:val="6A304BBA"/>
    <w:lvl w:ilvl="0" w:tplc="99364D1C">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4A0742"/>
    <w:multiLevelType w:val="multilevel"/>
    <w:tmpl w:val="341EE99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5E23EDE"/>
    <w:multiLevelType w:val="multilevel"/>
    <w:tmpl w:val="F8F441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84076F0"/>
    <w:multiLevelType w:val="hybridMultilevel"/>
    <w:tmpl w:val="6BE4A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DC6077"/>
    <w:multiLevelType w:val="multilevel"/>
    <w:tmpl w:val="F5DA6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3715B6"/>
    <w:multiLevelType w:val="multilevel"/>
    <w:tmpl w:val="431E46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D0432D"/>
    <w:multiLevelType w:val="multilevel"/>
    <w:tmpl w:val="D28C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242248"/>
    <w:multiLevelType w:val="multilevel"/>
    <w:tmpl w:val="C5BE9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B26248"/>
    <w:multiLevelType w:val="multilevel"/>
    <w:tmpl w:val="78ACCDB4"/>
    <w:lvl w:ilvl="0">
      <w:start w:val="1"/>
      <w:numFmt w:val="upperLetter"/>
      <w:lvlText w:val="%1."/>
      <w:lvlJc w:val="left"/>
      <w:pPr>
        <w:ind w:left="720" w:hanging="360"/>
      </w:pPr>
    </w:lvl>
    <w:lvl w:ilvl="1">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5ED1DBD"/>
    <w:multiLevelType w:val="multilevel"/>
    <w:tmpl w:val="0750DA3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7D36C0"/>
    <w:multiLevelType w:val="multilevel"/>
    <w:tmpl w:val="5E7C2CF0"/>
    <w:lvl w:ilvl="0">
      <w:start w:val="1"/>
      <w:numFmt w:val="bullet"/>
      <w:lvlText w:val="●"/>
      <w:lvlJc w:val="left"/>
      <w:pPr>
        <w:ind w:left="644" w:hanging="357"/>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numFmt w:val="bullet"/>
      <w:lvlText w:val="·"/>
      <w:lvlJc w:val="left"/>
      <w:pPr>
        <w:ind w:left="3240" w:hanging="360"/>
      </w:pPr>
      <w:rPr>
        <w:rFonts w:ascii="Calibri" w:eastAsia="Calibri" w:hAnsi="Calibri" w:cs="Calibri"/>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66046328"/>
    <w:multiLevelType w:val="hybridMultilevel"/>
    <w:tmpl w:val="98F22A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2257B6"/>
    <w:multiLevelType w:val="multilevel"/>
    <w:tmpl w:val="5F686BD4"/>
    <w:lvl w:ilvl="0">
      <w:start w:val="1"/>
      <w:numFmt w:val="lowerLetter"/>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6AB01EE8"/>
    <w:multiLevelType w:val="multilevel"/>
    <w:tmpl w:val="B67C6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3B3964"/>
    <w:multiLevelType w:val="multilevel"/>
    <w:tmpl w:val="E214B4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E28317D"/>
    <w:multiLevelType w:val="multilevel"/>
    <w:tmpl w:val="A852FD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12366B"/>
    <w:multiLevelType w:val="multilevel"/>
    <w:tmpl w:val="ED5ECDC0"/>
    <w:lvl w:ilvl="0">
      <w:numFmt w:val="bullet"/>
      <w:lvlText w:val="-"/>
      <w:lvlJc w:val="left"/>
      <w:pPr>
        <w:ind w:left="1440" w:hanging="360"/>
      </w:pPr>
      <w:rPr>
        <w:rFonts w:ascii="Calibri" w:eastAsia="Calibri" w:hAnsi="Calibri" w:cs="Calibri"/>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7B6D4F93"/>
    <w:multiLevelType w:val="hybridMultilevel"/>
    <w:tmpl w:val="90548DCA"/>
    <w:lvl w:ilvl="0" w:tplc="12583A22">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9996233">
    <w:abstractNumId w:val="3"/>
  </w:num>
  <w:num w:numId="2" w16cid:durableId="1617718186">
    <w:abstractNumId w:val="8"/>
  </w:num>
  <w:num w:numId="3" w16cid:durableId="1876455138">
    <w:abstractNumId w:val="18"/>
  </w:num>
  <w:num w:numId="4" w16cid:durableId="1774091075">
    <w:abstractNumId w:val="1"/>
  </w:num>
  <w:num w:numId="5" w16cid:durableId="649943949">
    <w:abstractNumId w:val="26"/>
  </w:num>
  <w:num w:numId="6" w16cid:durableId="2125733478">
    <w:abstractNumId w:val="20"/>
  </w:num>
  <w:num w:numId="7" w16cid:durableId="1458722656">
    <w:abstractNumId w:val="22"/>
  </w:num>
  <w:num w:numId="8" w16cid:durableId="631209800">
    <w:abstractNumId w:val="2"/>
  </w:num>
  <w:num w:numId="9" w16cid:durableId="764569843">
    <w:abstractNumId w:val="10"/>
  </w:num>
  <w:num w:numId="10" w16cid:durableId="2011785575">
    <w:abstractNumId w:val="6"/>
  </w:num>
  <w:num w:numId="11" w16cid:durableId="1313489930">
    <w:abstractNumId w:val="17"/>
  </w:num>
  <w:num w:numId="12" w16cid:durableId="136191612">
    <w:abstractNumId w:val="27"/>
  </w:num>
  <w:num w:numId="13" w16cid:durableId="12347375">
    <w:abstractNumId w:val="7"/>
  </w:num>
  <w:num w:numId="14" w16cid:durableId="1333412518">
    <w:abstractNumId w:val="28"/>
  </w:num>
  <w:num w:numId="15" w16cid:durableId="1103913299">
    <w:abstractNumId w:val="4"/>
  </w:num>
  <w:num w:numId="16" w16cid:durableId="1189175722">
    <w:abstractNumId w:val="9"/>
  </w:num>
  <w:num w:numId="17" w16cid:durableId="1087505364">
    <w:abstractNumId w:val="24"/>
  </w:num>
  <w:num w:numId="18" w16cid:durableId="805974137">
    <w:abstractNumId w:val="21"/>
  </w:num>
  <w:num w:numId="19" w16cid:durableId="1801916475">
    <w:abstractNumId w:val="14"/>
  </w:num>
  <w:num w:numId="20" w16cid:durableId="1461269340">
    <w:abstractNumId w:val="13"/>
  </w:num>
  <w:num w:numId="21" w16cid:durableId="587542923">
    <w:abstractNumId w:val="5"/>
  </w:num>
  <w:num w:numId="22" w16cid:durableId="193933576">
    <w:abstractNumId w:val="12"/>
  </w:num>
  <w:num w:numId="23" w16cid:durableId="371003512">
    <w:abstractNumId w:val="29"/>
  </w:num>
  <w:num w:numId="24" w16cid:durableId="738866310">
    <w:abstractNumId w:val="15"/>
  </w:num>
  <w:num w:numId="25" w16cid:durableId="964652868">
    <w:abstractNumId w:val="23"/>
  </w:num>
  <w:num w:numId="26" w16cid:durableId="662784778">
    <w:abstractNumId w:val="0"/>
  </w:num>
  <w:num w:numId="27" w16cid:durableId="1208444221">
    <w:abstractNumId w:val="11"/>
  </w:num>
  <w:num w:numId="28" w16cid:durableId="1769545272">
    <w:abstractNumId w:val="19"/>
  </w:num>
  <w:num w:numId="29" w16cid:durableId="862061194">
    <w:abstractNumId w:val="16"/>
  </w:num>
  <w:num w:numId="30" w16cid:durableId="284563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892"/>
    <w:rsid w:val="00017773"/>
    <w:rsid w:val="00023AD3"/>
    <w:rsid w:val="000263E0"/>
    <w:rsid w:val="00057A94"/>
    <w:rsid w:val="0007172C"/>
    <w:rsid w:val="000748DB"/>
    <w:rsid w:val="000758EA"/>
    <w:rsid w:val="00084E93"/>
    <w:rsid w:val="000B3BB4"/>
    <w:rsid w:val="000B7282"/>
    <w:rsid w:val="000D21AE"/>
    <w:rsid w:val="000E5B55"/>
    <w:rsid w:val="000E6A9F"/>
    <w:rsid w:val="000F16D8"/>
    <w:rsid w:val="0013178C"/>
    <w:rsid w:val="00150F95"/>
    <w:rsid w:val="0015505A"/>
    <w:rsid w:val="001A61A3"/>
    <w:rsid w:val="001B138C"/>
    <w:rsid w:val="001B4DAA"/>
    <w:rsid w:val="001D041A"/>
    <w:rsid w:val="001E596A"/>
    <w:rsid w:val="00227A83"/>
    <w:rsid w:val="00265A9F"/>
    <w:rsid w:val="002C3B39"/>
    <w:rsid w:val="002D7737"/>
    <w:rsid w:val="002E3613"/>
    <w:rsid w:val="003008CE"/>
    <w:rsid w:val="00304910"/>
    <w:rsid w:val="00312FC6"/>
    <w:rsid w:val="003511AA"/>
    <w:rsid w:val="00375A44"/>
    <w:rsid w:val="00383318"/>
    <w:rsid w:val="003A3416"/>
    <w:rsid w:val="003B1BAF"/>
    <w:rsid w:val="003C1FCC"/>
    <w:rsid w:val="003E2C16"/>
    <w:rsid w:val="00471345"/>
    <w:rsid w:val="004940E2"/>
    <w:rsid w:val="00494C81"/>
    <w:rsid w:val="004A601B"/>
    <w:rsid w:val="004A67B1"/>
    <w:rsid w:val="004B14D5"/>
    <w:rsid w:val="004D3FE5"/>
    <w:rsid w:val="004D459C"/>
    <w:rsid w:val="004E19D4"/>
    <w:rsid w:val="004F1D87"/>
    <w:rsid w:val="00507A0B"/>
    <w:rsid w:val="00531125"/>
    <w:rsid w:val="00534055"/>
    <w:rsid w:val="00537CC4"/>
    <w:rsid w:val="0054618C"/>
    <w:rsid w:val="00554583"/>
    <w:rsid w:val="00567982"/>
    <w:rsid w:val="005B2426"/>
    <w:rsid w:val="005C1F63"/>
    <w:rsid w:val="005E60D2"/>
    <w:rsid w:val="00616BB5"/>
    <w:rsid w:val="00621DCA"/>
    <w:rsid w:val="00631D45"/>
    <w:rsid w:val="00636281"/>
    <w:rsid w:val="00647759"/>
    <w:rsid w:val="00653A99"/>
    <w:rsid w:val="00667B30"/>
    <w:rsid w:val="006A7BB8"/>
    <w:rsid w:val="006D6843"/>
    <w:rsid w:val="006F07C4"/>
    <w:rsid w:val="007113F0"/>
    <w:rsid w:val="007215D8"/>
    <w:rsid w:val="0073019A"/>
    <w:rsid w:val="00741213"/>
    <w:rsid w:val="007415BB"/>
    <w:rsid w:val="00753EA0"/>
    <w:rsid w:val="00767AFD"/>
    <w:rsid w:val="00777E41"/>
    <w:rsid w:val="007A1381"/>
    <w:rsid w:val="007A7A36"/>
    <w:rsid w:val="007B7210"/>
    <w:rsid w:val="007E200D"/>
    <w:rsid w:val="007F2C8E"/>
    <w:rsid w:val="00803DA4"/>
    <w:rsid w:val="00842865"/>
    <w:rsid w:val="0084620C"/>
    <w:rsid w:val="00853AE8"/>
    <w:rsid w:val="008A11A3"/>
    <w:rsid w:val="008B3A0C"/>
    <w:rsid w:val="008C7757"/>
    <w:rsid w:val="008D66BC"/>
    <w:rsid w:val="008E2217"/>
    <w:rsid w:val="008E269F"/>
    <w:rsid w:val="009068B0"/>
    <w:rsid w:val="00916AC6"/>
    <w:rsid w:val="009404A1"/>
    <w:rsid w:val="0094612F"/>
    <w:rsid w:val="009842BD"/>
    <w:rsid w:val="00992C38"/>
    <w:rsid w:val="009A307C"/>
    <w:rsid w:val="009A7DBE"/>
    <w:rsid w:val="009B7D00"/>
    <w:rsid w:val="009E2EEE"/>
    <w:rsid w:val="009F5106"/>
    <w:rsid w:val="00A078D8"/>
    <w:rsid w:val="00A07EC6"/>
    <w:rsid w:val="00A32424"/>
    <w:rsid w:val="00A32C74"/>
    <w:rsid w:val="00A34354"/>
    <w:rsid w:val="00A54E12"/>
    <w:rsid w:val="00A60FC9"/>
    <w:rsid w:val="00AB5C7E"/>
    <w:rsid w:val="00AB7D52"/>
    <w:rsid w:val="00AE6B8E"/>
    <w:rsid w:val="00AF5B71"/>
    <w:rsid w:val="00B05239"/>
    <w:rsid w:val="00B10178"/>
    <w:rsid w:val="00B31035"/>
    <w:rsid w:val="00B442A3"/>
    <w:rsid w:val="00B5185F"/>
    <w:rsid w:val="00B67EF9"/>
    <w:rsid w:val="00BA007C"/>
    <w:rsid w:val="00BB647A"/>
    <w:rsid w:val="00BB6E2A"/>
    <w:rsid w:val="00BD4D17"/>
    <w:rsid w:val="00BE3126"/>
    <w:rsid w:val="00BF6948"/>
    <w:rsid w:val="00C328B4"/>
    <w:rsid w:val="00C43046"/>
    <w:rsid w:val="00C46537"/>
    <w:rsid w:val="00C51631"/>
    <w:rsid w:val="00C52910"/>
    <w:rsid w:val="00C62DFC"/>
    <w:rsid w:val="00C76136"/>
    <w:rsid w:val="00C76C7B"/>
    <w:rsid w:val="00CA7B12"/>
    <w:rsid w:val="00CB481B"/>
    <w:rsid w:val="00CC168B"/>
    <w:rsid w:val="00CD2A24"/>
    <w:rsid w:val="00CE4A02"/>
    <w:rsid w:val="00D0057C"/>
    <w:rsid w:val="00D03892"/>
    <w:rsid w:val="00D06605"/>
    <w:rsid w:val="00D21EE0"/>
    <w:rsid w:val="00D244D3"/>
    <w:rsid w:val="00D25919"/>
    <w:rsid w:val="00D265AA"/>
    <w:rsid w:val="00D2760A"/>
    <w:rsid w:val="00D32CAF"/>
    <w:rsid w:val="00D361A9"/>
    <w:rsid w:val="00D6261A"/>
    <w:rsid w:val="00D74F82"/>
    <w:rsid w:val="00D777DF"/>
    <w:rsid w:val="00D83EA1"/>
    <w:rsid w:val="00D93168"/>
    <w:rsid w:val="00DA6641"/>
    <w:rsid w:val="00DB285E"/>
    <w:rsid w:val="00DB735C"/>
    <w:rsid w:val="00DC675C"/>
    <w:rsid w:val="00E0512A"/>
    <w:rsid w:val="00E36E6A"/>
    <w:rsid w:val="00E41849"/>
    <w:rsid w:val="00E427D4"/>
    <w:rsid w:val="00E47F80"/>
    <w:rsid w:val="00E566CF"/>
    <w:rsid w:val="00E73BAB"/>
    <w:rsid w:val="00E8004B"/>
    <w:rsid w:val="00E908F2"/>
    <w:rsid w:val="00E95422"/>
    <w:rsid w:val="00EA50CC"/>
    <w:rsid w:val="00EB54F6"/>
    <w:rsid w:val="00F12AF2"/>
    <w:rsid w:val="00F208CB"/>
    <w:rsid w:val="00F25888"/>
    <w:rsid w:val="00F375C8"/>
    <w:rsid w:val="00F43A38"/>
    <w:rsid w:val="00F624EB"/>
    <w:rsid w:val="00F745B1"/>
    <w:rsid w:val="00F9530F"/>
    <w:rsid w:val="00FA3051"/>
    <w:rsid w:val="00FA50C6"/>
    <w:rsid w:val="00FB7A5B"/>
    <w:rsid w:val="00FF5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50223"/>
  <w15:docId w15:val="{A4406836-5F87-0247-BF8D-A99A48DD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2FC6"/>
  </w:style>
  <w:style w:type="paragraph" w:styleId="Titolo1">
    <w:name w:val="heading 1"/>
    <w:basedOn w:val="Normale"/>
    <w:next w:val="Normale"/>
    <w:link w:val="Titolo1Carattere"/>
    <w:uiPriority w:val="9"/>
    <w:qFormat/>
    <w:rsid w:val="003E0E6B"/>
    <w:pPr>
      <w:keepNext/>
      <w:keepLines/>
      <w:spacing w:before="240" w:line="259" w:lineRule="auto"/>
      <w:outlineLvl w:val="0"/>
    </w:pPr>
    <w:rPr>
      <w:rFonts w:asciiTheme="majorHAnsi" w:eastAsiaTheme="majorEastAsia" w:hAnsiTheme="majorHAnsi" w:cstheme="majorBidi"/>
      <w:color w:val="2F5496" w:themeColor="accent1" w:themeShade="BF"/>
      <w:kern w:val="2"/>
      <w:sz w:val="32"/>
      <w:szCs w:val="32"/>
    </w:rPr>
  </w:style>
  <w:style w:type="paragraph" w:styleId="Titolo2">
    <w:name w:val="heading 2"/>
    <w:basedOn w:val="Normale"/>
    <w:next w:val="Normale"/>
    <w:link w:val="Titolo2Carattere"/>
    <w:uiPriority w:val="9"/>
    <w:semiHidden/>
    <w:unhideWhenUsed/>
    <w:qFormat/>
    <w:rsid w:val="003E0E6B"/>
    <w:pPr>
      <w:keepNext/>
      <w:keepLines/>
      <w:spacing w:before="40" w:line="259" w:lineRule="auto"/>
      <w:outlineLvl w:val="1"/>
    </w:pPr>
    <w:rPr>
      <w:rFonts w:asciiTheme="majorHAnsi" w:eastAsiaTheme="majorEastAsia" w:hAnsiTheme="majorHAnsi" w:cstheme="majorBidi"/>
      <w:color w:val="2F5496" w:themeColor="accent1" w:themeShade="BF"/>
      <w:kern w:val="2"/>
      <w:sz w:val="26"/>
      <w:szCs w:val="26"/>
    </w:rPr>
  </w:style>
  <w:style w:type="paragraph" w:styleId="Titolo3">
    <w:name w:val="heading 3"/>
    <w:basedOn w:val="Normale"/>
    <w:next w:val="Normale"/>
    <w:link w:val="Titolo3Carattere"/>
    <w:uiPriority w:val="9"/>
    <w:semiHidden/>
    <w:unhideWhenUsed/>
    <w:qFormat/>
    <w:rsid w:val="003E0E6B"/>
    <w:pPr>
      <w:keepNext/>
      <w:keepLines/>
      <w:spacing w:before="40" w:line="259" w:lineRule="auto"/>
      <w:outlineLvl w:val="2"/>
    </w:pPr>
    <w:rPr>
      <w:rFonts w:asciiTheme="majorHAnsi" w:eastAsiaTheme="majorEastAsia" w:hAnsiTheme="majorHAnsi" w:cstheme="majorBidi"/>
      <w:color w:val="1F3763" w:themeColor="accent1" w:themeShade="7F"/>
      <w:kern w:val="2"/>
    </w:rPr>
  </w:style>
  <w:style w:type="paragraph" w:styleId="Titolo4">
    <w:name w:val="heading 4"/>
    <w:basedOn w:val="Normale"/>
    <w:next w:val="Normale"/>
    <w:link w:val="Titolo4Carattere"/>
    <w:uiPriority w:val="9"/>
    <w:semiHidden/>
    <w:unhideWhenUsed/>
    <w:qFormat/>
    <w:rsid w:val="003E0E6B"/>
    <w:pPr>
      <w:keepNext/>
      <w:keepLines/>
      <w:spacing w:before="40" w:line="259" w:lineRule="auto"/>
      <w:outlineLvl w:val="3"/>
    </w:pPr>
    <w:rPr>
      <w:rFonts w:asciiTheme="majorHAnsi" w:eastAsiaTheme="majorEastAsia" w:hAnsiTheme="majorHAnsi" w:cstheme="majorBidi"/>
      <w:i/>
      <w:iCs/>
      <w:color w:val="2F5496" w:themeColor="accent1" w:themeShade="BF"/>
      <w:kern w:val="2"/>
      <w:sz w:val="22"/>
      <w:szCs w:val="22"/>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3E0E6B"/>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character" w:customStyle="1" w:styleId="Titolo1Carattere">
    <w:name w:val="Titolo 1 Carattere"/>
    <w:basedOn w:val="Carpredefinitoparagrafo"/>
    <w:link w:val="Titolo1"/>
    <w:uiPriority w:val="9"/>
    <w:rsid w:val="003E0E6B"/>
    <w:rPr>
      <w:rFonts w:asciiTheme="majorHAnsi" w:eastAsiaTheme="majorEastAsia" w:hAnsiTheme="majorHAnsi" w:cstheme="majorBidi"/>
      <w:color w:val="2F5496" w:themeColor="accent1" w:themeShade="BF"/>
      <w:kern w:val="2"/>
      <w:sz w:val="32"/>
      <w:szCs w:val="32"/>
    </w:rPr>
  </w:style>
  <w:style w:type="character" w:customStyle="1" w:styleId="Titolo2Carattere">
    <w:name w:val="Titolo 2 Carattere"/>
    <w:basedOn w:val="Carpredefinitoparagrafo"/>
    <w:link w:val="Titolo2"/>
    <w:uiPriority w:val="9"/>
    <w:rsid w:val="003E0E6B"/>
    <w:rPr>
      <w:rFonts w:asciiTheme="majorHAnsi" w:eastAsiaTheme="majorEastAsia" w:hAnsiTheme="majorHAnsi" w:cstheme="majorBidi"/>
      <w:color w:val="2F5496" w:themeColor="accent1" w:themeShade="BF"/>
      <w:kern w:val="2"/>
      <w:sz w:val="26"/>
      <w:szCs w:val="26"/>
    </w:rPr>
  </w:style>
  <w:style w:type="character" w:customStyle="1" w:styleId="Titolo3Carattere">
    <w:name w:val="Titolo 3 Carattere"/>
    <w:basedOn w:val="Carpredefinitoparagrafo"/>
    <w:link w:val="Titolo3"/>
    <w:uiPriority w:val="9"/>
    <w:rsid w:val="003E0E6B"/>
    <w:rPr>
      <w:rFonts w:asciiTheme="majorHAnsi" w:eastAsiaTheme="majorEastAsia" w:hAnsiTheme="majorHAnsi" w:cstheme="majorBidi"/>
      <w:color w:val="1F3763" w:themeColor="accent1" w:themeShade="7F"/>
      <w:kern w:val="2"/>
    </w:rPr>
  </w:style>
  <w:style w:type="character" w:customStyle="1" w:styleId="Titolo4Carattere">
    <w:name w:val="Titolo 4 Carattere"/>
    <w:basedOn w:val="Carpredefinitoparagrafo"/>
    <w:link w:val="Titolo4"/>
    <w:uiPriority w:val="9"/>
    <w:rsid w:val="003E0E6B"/>
    <w:rPr>
      <w:rFonts w:asciiTheme="majorHAnsi" w:eastAsiaTheme="majorEastAsia" w:hAnsiTheme="majorHAnsi" w:cstheme="majorBidi"/>
      <w:i/>
      <w:iCs/>
      <w:color w:val="2F5496" w:themeColor="accent1" w:themeShade="BF"/>
      <w:kern w:val="2"/>
      <w:sz w:val="22"/>
      <w:szCs w:val="22"/>
    </w:rPr>
  </w:style>
  <w:style w:type="character" w:customStyle="1" w:styleId="TitoloCarattere">
    <w:name w:val="Titolo Carattere"/>
    <w:basedOn w:val="Carpredefinitoparagrafo"/>
    <w:link w:val="Titolo"/>
    <w:uiPriority w:val="1"/>
    <w:rsid w:val="003E0E6B"/>
    <w:rPr>
      <w:rFonts w:asciiTheme="majorHAnsi" w:eastAsiaTheme="majorEastAsia" w:hAnsiTheme="majorHAnsi" w:cstheme="majorBidi"/>
      <w:color w:val="404040" w:themeColor="text1" w:themeTint="BF"/>
      <w:spacing w:val="-10"/>
      <w:kern w:val="28"/>
      <w:sz w:val="56"/>
      <w:szCs w:val="56"/>
      <w:lang w:eastAsia="it-IT"/>
    </w:rPr>
  </w:style>
  <w:style w:type="paragraph" w:styleId="Sottotitolo">
    <w:name w:val="Subtitle"/>
    <w:basedOn w:val="Normale"/>
    <w:next w:val="Normale"/>
    <w:link w:val="SottotitoloCarattere"/>
    <w:uiPriority w:val="11"/>
    <w:qFormat/>
    <w:pPr>
      <w:spacing w:after="160" w:line="259" w:lineRule="auto"/>
    </w:pPr>
    <w:rPr>
      <w:color w:val="5A5A5A"/>
      <w:sz w:val="22"/>
      <w:szCs w:val="22"/>
    </w:rPr>
  </w:style>
  <w:style w:type="character" w:customStyle="1" w:styleId="SottotitoloCarattere">
    <w:name w:val="Sottotitolo Carattere"/>
    <w:basedOn w:val="Carpredefinitoparagrafo"/>
    <w:link w:val="Sottotitolo"/>
    <w:uiPriority w:val="11"/>
    <w:rsid w:val="003E0E6B"/>
    <w:rPr>
      <w:rFonts w:eastAsiaTheme="minorEastAsia" w:cs="Times New Roman"/>
      <w:color w:val="5A5A5A" w:themeColor="text1" w:themeTint="A5"/>
      <w:spacing w:val="15"/>
      <w:sz w:val="22"/>
      <w:szCs w:val="22"/>
      <w:lang w:eastAsia="it-IT"/>
    </w:rPr>
  </w:style>
  <w:style w:type="paragraph" w:styleId="Nessunaspaziatura">
    <w:name w:val="No Spacing"/>
    <w:link w:val="NessunaspaziaturaCarattere"/>
    <w:uiPriority w:val="1"/>
    <w:qFormat/>
    <w:rsid w:val="003E0E6B"/>
    <w:rPr>
      <w:rFonts w:eastAsiaTheme="minorEastAsia"/>
      <w:sz w:val="22"/>
      <w:szCs w:val="22"/>
    </w:rPr>
  </w:style>
  <w:style w:type="character" w:customStyle="1" w:styleId="NessunaspaziaturaCarattere">
    <w:name w:val="Nessuna spaziatura Carattere"/>
    <w:basedOn w:val="Carpredefinitoparagrafo"/>
    <w:link w:val="Nessunaspaziatura"/>
    <w:uiPriority w:val="1"/>
    <w:rsid w:val="003E0E6B"/>
    <w:rPr>
      <w:rFonts w:eastAsiaTheme="minorEastAsia"/>
      <w:sz w:val="22"/>
      <w:szCs w:val="22"/>
      <w:lang w:eastAsia="it-IT"/>
    </w:rPr>
  </w:style>
  <w:style w:type="paragraph" w:styleId="Titolosommario">
    <w:name w:val="TOC Heading"/>
    <w:basedOn w:val="Titolo1"/>
    <w:next w:val="Normale"/>
    <w:uiPriority w:val="39"/>
    <w:unhideWhenUsed/>
    <w:qFormat/>
    <w:rsid w:val="003E0E6B"/>
    <w:pPr>
      <w:outlineLvl w:val="9"/>
    </w:pPr>
    <w:rPr>
      <w:kern w:val="0"/>
    </w:rPr>
  </w:style>
  <w:style w:type="paragraph" w:styleId="Sommario3">
    <w:name w:val="toc 3"/>
    <w:basedOn w:val="Normale"/>
    <w:next w:val="Normale"/>
    <w:autoRedefine/>
    <w:uiPriority w:val="39"/>
    <w:unhideWhenUsed/>
    <w:rsid w:val="003E0E6B"/>
    <w:pPr>
      <w:ind w:left="480"/>
    </w:pPr>
    <w:rPr>
      <w:rFonts w:asciiTheme="minorHAnsi" w:hAnsiTheme="minorHAnsi" w:cstheme="minorHAnsi"/>
      <w:sz w:val="20"/>
      <w:szCs w:val="20"/>
    </w:rPr>
  </w:style>
  <w:style w:type="character" w:styleId="Collegamentoipertestuale">
    <w:name w:val="Hyperlink"/>
    <w:basedOn w:val="Carpredefinitoparagrafo"/>
    <w:uiPriority w:val="99"/>
    <w:unhideWhenUsed/>
    <w:rsid w:val="003E0E6B"/>
    <w:rPr>
      <w:color w:val="0563C1" w:themeColor="hyperlink"/>
      <w:u w:val="single"/>
    </w:rPr>
  </w:style>
  <w:style w:type="paragraph" w:styleId="Sommario2">
    <w:name w:val="toc 2"/>
    <w:basedOn w:val="Normale"/>
    <w:next w:val="Normale"/>
    <w:autoRedefine/>
    <w:uiPriority w:val="39"/>
    <w:unhideWhenUsed/>
    <w:rsid w:val="003E0E6B"/>
    <w:pPr>
      <w:spacing w:before="120"/>
      <w:ind w:left="240"/>
    </w:pPr>
    <w:rPr>
      <w:rFonts w:asciiTheme="minorHAnsi" w:hAnsiTheme="minorHAnsi" w:cstheme="minorHAnsi"/>
      <w:b/>
      <w:bCs/>
      <w:sz w:val="22"/>
      <w:szCs w:val="22"/>
    </w:rPr>
  </w:style>
  <w:style w:type="paragraph" w:styleId="Sommario1">
    <w:name w:val="toc 1"/>
    <w:basedOn w:val="Normale"/>
    <w:next w:val="Normale"/>
    <w:autoRedefine/>
    <w:uiPriority w:val="39"/>
    <w:unhideWhenUsed/>
    <w:rsid w:val="003E0E6B"/>
    <w:pPr>
      <w:spacing w:before="120"/>
    </w:pPr>
    <w:rPr>
      <w:rFonts w:asciiTheme="minorHAnsi" w:hAnsiTheme="minorHAnsi" w:cstheme="minorHAnsi"/>
      <w:b/>
      <w:bCs/>
      <w:i/>
      <w:iCs/>
    </w:rPr>
  </w:style>
  <w:style w:type="table" w:styleId="Grigliatabella">
    <w:name w:val="Table Grid"/>
    <w:basedOn w:val="Tabellanormale"/>
    <w:uiPriority w:val="39"/>
    <w:rsid w:val="003E0E6B"/>
    <w:rPr>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3E0E6B"/>
    <w:pPr>
      <w:autoSpaceDE w:val="0"/>
      <w:autoSpaceDN w:val="0"/>
      <w:adjustRightInd w:val="0"/>
      <w:spacing w:line="268" w:lineRule="exact"/>
      <w:ind w:left="470"/>
    </w:pPr>
    <w:rPr>
      <w:rFonts w:ascii="Corbel" w:hAnsi="Corbel" w:cs="Corbel"/>
    </w:rPr>
  </w:style>
  <w:style w:type="paragraph" w:customStyle="1" w:styleId="Default">
    <w:name w:val="Default"/>
    <w:rsid w:val="003E0E6B"/>
    <w:pPr>
      <w:autoSpaceDE w:val="0"/>
      <w:autoSpaceDN w:val="0"/>
      <w:adjustRightInd w:val="0"/>
    </w:pPr>
    <w:rPr>
      <w:color w:val="000000"/>
    </w:rPr>
  </w:style>
  <w:style w:type="paragraph" w:styleId="Revisione">
    <w:name w:val="Revision"/>
    <w:hidden/>
    <w:uiPriority w:val="99"/>
    <w:semiHidden/>
    <w:rsid w:val="003E0E6B"/>
    <w:rPr>
      <w:kern w:val="2"/>
      <w:sz w:val="22"/>
      <w:szCs w:val="22"/>
    </w:rPr>
  </w:style>
  <w:style w:type="character" w:styleId="Rimandocommento">
    <w:name w:val="annotation reference"/>
    <w:basedOn w:val="Carpredefinitoparagrafo"/>
    <w:uiPriority w:val="99"/>
    <w:semiHidden/>
    <w:unhideWhenUsed/>
    <w:rsid w:val="003E0E6B"/>
    <w:rPr>
      <w:sz w:val="16"/>
      <w:szCs w:val="16"/>
    </w:rPr>
  </w:style>
  <w:style w:type="paragraph" w:styleId="Testocommento">
    <w:name w:val="annotation text"/>
    <w:basedOn w:val="Normale"/>
    <w:link w:val="TestocommentoCarattere"/>
    <w:uiPriority w:val="99"/>
    <w:unhideWhenUsed/>
    <w:rsid w:val="003E0E6B"/>
    <w:pPr>
      <w:spacing w:after="160"/>
    </w:pPr>
    <w:rPr>
      <w:kern w:val="2"/>
      <w:sz w:val="20"/>
      <w:szCs w:val="20"/>
    </w:rPr>
  </w:style>
  <w:style w:type="character" w:customStyle="1" w:styleId="TestocommentoCarattere">
    <w:name w:val="Testo commento Carattere"/>
    <w:basedOn w:val="Carpredefinitoparagrafo"/>
    <w:link w:val="Testocommento"/>
    <w:uiPriority w:val="99"/>
    <w:rsid w:val="003E0E6B"/>
    <w:rPr>
      <w:kern w:val="2"/>
      <w:sz w:val="20"/>
      <w:szCs w:val="20"/>
    </w:rPr>
  </w:style>
  <w:style w:type="paragraph" w:styleId="Soggettocommento">
    <w:name w:val="annotation subject"/>
    <w:basedOn w:val="Testocommento"/>
    <w:next w:val="Testocommento"/>
    <w:link w:val="SoggettocommentoCarattere"/>
    <w:uiPriority w:val="99"/>
    <w:semiHidden/>
    <w:unhideWhenUsed/>
    <w:rsid w:val="003E0E6B"/>
    <w:rPr>
      <w:b/>
      <w:bCs/>
    </w:rPr>
  </w:style>
  <w:style w:type="character" w:customStyle="1" w:styleId="SoggettocommentoCarattere">
    <w:name w:val="Soggetto commento Carattere"/>
    <w:basedOn w:val="TestocommentoCarattere"/>
    <w:link w:val="Soggettocommento"/>
    <w:uiPriority w:val="99"/>
    <w:semiHidden/>
    <w:rsid w:val="003E0E6B"/>
    <w:rPr>
      <w:b/>
      <w:bCs/>
      <w:kern w:val="2"/>
      <w:sz w:val="20"/>
      <w:szCs w:val="20"/>
    </w:rPr>
  </w:style>
  <w:style w:type="paragraph" w:customStyle="1" w:styleId="Stile1">
    <w:name w:val="Stile1"/>
    <w:basedOn w:val="Sottotitolo"/>
    <w:link w:val="Stile1Carattere"/>
    <w:qFormat/>
    <w:rsid w:val="003E0E6B"/>
    <w:rPr>
      <w:color w:val="4472C4" w:themeColor="accent1"/>
    </w:rPr>
  </w:style>
  <w:style w:type="character" w:customStyle="1" w:styleId="Stile1Carattere">
    <w:name w:val="Stile1 Carattere"/>
    <w:basedOn w:val="SottotitoloCarattere"/>
    <w:link w:val="Stile1"/>
    <w:rsid w:val="003E0E6B"/>
    <w:rPr>
      <w:rFonts w:eastAsiaTheme="minorEastAsia" w:cs="Times New Roman"/>
      <w:color w:val="4472C4" w:themeColor="accent1"/>
      <w:spacing w:val="15"/>
      <w:sz w:val="22"/>
      <w:szCs w:val="22"/>
      <w:lang w:eastAsia="it-IT"/>
    </w:rPr>
  </w:style>
  <w:style w:type="paragraph" w:styleId="Testonotadichiusura">
    <w:name w:val="endnote text"/>
    <w:basedOn w:val="Normale"/>
    <w:link w:val="TestonotadichiusuraCarattere"/>
    <w:uiPriority w:val="99"/>
    <w:semiHidden/>
    <w:unhideWhenUsed/>
    <w:rsid w:val="003E0E6B"/>
    <w:rPr>
      <w:kern w:val="2"/>
      <w:sz w:val="20"/>
      <w:szCs w:val="20"/>
    </w:rPr>
  </w:style>
  <w:style w:type="character" w:customStyle="1" w:styleId="TestonotadichiusuraCarattere">
    <w:name w:val="Testo nota di chiusura Carattere"/>
    <w:basedOn w:val="Carpredefinitoparagrafo"/>
    <w:link w:val="Testonotadichiusura"/>
    <w:uiPriority w:val="99"/>
    <w:semiHidden/>
    <w:rsid w:val="003E0E6B"/>
    <w:rPr>
      <w:kern w:val="2"/>
      <w:sz w:val="20"/>
      <w:szCs w:val="20"/>
    </w:rPr>
  </w:style>
  <w:style w:type="character" w:styleId="Rimandonotadichiusura">
    <w:name w:val="endnote reference"/>
    <w:basedOn w:val="Carpredefinitoparagrafo"/>
    <w:uiPriority w:val="99"/>
    <w:semiHidden/>
    <w:unhideWhenUsed/>
    <w:rsid w:val="003E0E6B"/>
    <w:rPr>
      <w:vertAlign w:val="superscript"/>
    </w:rPr>
  </w:style>
  <w:style w:type="paragraph" w:styleId="Testonotaapidipagina">
    <w:name w:val="footnote text"/>
    <w:basedOn w:val="Normale"/>
    <w:link w:val="TestonotaapidipaginaCarattere"/>
    <w:uiPriority w:val="99"/>
    <w:semiHidden/>
    <w:unhideWhenUsed/>
    <w:rsid w:val="003E0E6B"/>
    <w:rPr>
      <w:kern w:val="2"/>
      <w:sz w:val="20"/>
      <w:szCs w:val="20"/>
    </w:rPr>
  </w:style>
  <w:style w:type="character" w:customStyle="1" w:styleId="TestonotaapidipaginaCarattere">
    <w:name w:val="Testo nota a piè di pagina Carattere"/>
    <w:basedOn w:val="Carpredefinitoparagrafo"/>
    <w:link w:val="Testonotaapidipagina"/>
    <w:uiPriority w:val="99"/>
    <w:semiHidden/>
    <w:rsid w:val="003E0E6B"/>
    <w:rPr>
      <w:kern w:val="2"/>
      <w:sz w:val="20"/>
      <w:szCs w:val="20"/>
    </w:rPr>
  </w:style>
  <w:style w:type="character" w:styleId="Rimandonotaapidipagina">
    <w:name w:val="footnote reference"/>
    <w:basedOn w:val="Carpredefinitoparagrafo"/>
    <w:uiPriority w:val="99"/>
    <w:semiHidden/>
    <w:unhideWhenUsed/>
    <w:rsid w:val="003E0E6B"/>
    <w:rPr>
      <w:vertAlign w:val="superscript"/>
    </w:rPr>
  </w:style>
  <w:style w:type="paragraph" w:styleId="Indice1">
    <w:name w:val="index 1"/>
    <w:basedOn w:val="Normale"/>
    <w:next w:val="Normale"/>
    <w:autoRedefine/>
    <w:uiPriority w:val="99"/>
    <w:semiHidden/>
    <w:unhideWhenUsed/>
    <w:rsid w:val="003E0E6B"/>
    <w:pPr>
      <w:ind w:left="220" w:hanging="220"/>
    </w:pPr>
    <w:rPr>
      <w:kern w:val="2"/>
      <w:sz w:val="22"/>
      <w:szCs w:val="22"/>
    </w:rPr>
  </w:style>
  <w:style w:type="paragraph" w:styleId="Testofumetto">
    <w:name w:val="Balloon Text"/>
    <w:basedOn w:val="Normale"/>
    <w:link w:val="TestofumettoCarattere"/>
    <w:uiPriority w:val="99"/>
    <w:semiHidden/>
    <w:unhideWhenUsed/>
    <w:rsid w:val="003E0E6B"/>
    <w:rPr>
      <w:rFonts w:ascii="Segoe UI" w:hAnsi="Segoe UI" w:cs="Segoe UI"/>
      <w:kern w:val="2"/>
      <w:sz w:val="18"/>
      <w:szCs w:val="18"/>
    </w:rPr>
  </w:style>
  <w:style w:type="character" w:customStyle="1" w:styleId="TestofumettoCarattere">
    <w:name w:val="Testo fumetto Carattere"/>
    <w:basedOn w:val="Carpredefinitoparagrafo"/>
    <w:link w:val="Testofumetto"/>
    <w:uiPriority w:val="99"/>
    <w:semiHidden/>
    <w:rsid w:val="003E0E6B"/>
    <w:rPr>
      <w:rFonts w:ascii="Segoe UI" w:hAnsi="Segoe UI" w:cs="Segoe UI"/>
      <w:kern w:val="2"/>
      <w:sz w:val="18"/>
      <w:szCs w:val="18"/>
    </w:rPr>
  </w:style>
  <w:style w:type="character" w:customStyle="1" w:styleId="UnresolvedMention1">
    <w:name w:val="Unresolved Mention1"/>
    <w:basedOn w:val="Carpredefinitoparagrafo"/>
    <w:uiPriority w:val="99"/>
    <w:semiHidden/>
    <w:unhideWhenUsed/>
    <w:rsid w:val="003E0E6B"/>
    <w:rPr>
      <w:color w:val="605E5C"/>
      <w:shd w:val="clear" w:color="auto" w:fill="E1DFDD"/>
    </w:rPr>
  </w:style>
  <w:style w:type="character" w:customStyle="1" w:styleId="Menzionenonrisolta1">
    <w:name w:val="Menzione non risolta1"/>
    <w:basedOn w:val="Carpredefinitoparagrafo"/>
    <w:uiPriority w:val="99"/>
    <w:semiHidden/>
    <w:unhideWhenUsed/>
    <w:rsid w:val="003E0E6B"/>
    <w:rPr>
      <w:color w:val="605E5C"/>
      <w:shd w:val="clear" w:color="auto" w:fill="E1DFDD"/>
    </w:rPr>
  </w:style>
  <w:style w:type="paragraph" w:styleId="NormaleWeb">
    <w:name w:val="Normal (Web)"/>
    <w:basedOn w:val="Normale"/>
    <w:uiPriority w:val="99"/>
    <w:unhideWhenUsed/>
    <w:rsid w:val="003E0E6B"/>
    <w:pPr>
      <w:spacing w:before="100" w:beforeAutospacing="1" w:after="100" w:afterAutospacing="1"/>
    </w:pPr>
    <w:rPr>
      <w:rFonts w:ascii="Times New Roman" w:eastAsia="Times New Roman" w:hAnsi="Times New Roman" w:cs="Times New Roman"/>
    </w:rPr>
  </w:style>
  <w:style w:type="paragraph" w:styleId="Corpotesto">
    <w:name w:val="Body Text"/>
    <w:basedOn w:val="Normale"/>
    <w:link w:val="CorpotestoCarattere"/>
    <w:uiPriority w:val="1"/>
    <w:semiHidden/>
    <w:unhideWhenUsed/>
    <w:qFormat/>
    <w:rsid w:val="00255F3C"/>
    <w:pPr>
      <w:widowControl w:val="0"/>
      <w:autoSpaceDE w:val="0"/>
      <w:autoSpaceDN w:val="0"/>
      <w:spacing w:before="120"/>
      <w:ind w:left="113"/>
      <w:jc w:val="both"/>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semiHidden/>
    <w:rsid w:val="00255F3C"/>
    <w:rPr>
      <w:rFonts w:ascii="Times New Roman" w:eastAsia="Times New Roman" w:hAnsi="Times New Roman" w:cs="Times New Roman"/>
    </w:rPr>
  </w:style>
  <w:style w:type="table" w:customStyle="1" w:styleId="a">
    <w:basedOn w:val="TableNormal1"/>
    <w:tblPr>
      <w:tblStyleRowBandSize w:val="1"/>
      <w:tblStyleColBandSize w:val="1"/>
    </w:tblPr>
  </w:style>
  <w:style w:type="table" w:customStyle="1" w:styleId="a0">
    <w:basedOn w:val="TableNormal1"/>
    <w:rPr>
      <w:sz w:val="22"/>
      <w:szCs w:val="22"/>
    </w:rPr>
    <w:tblPr>
      <w:tblStyleRowBandSize w:val="1"/>
      <w:tblStyleColBandSize w:val="1"/>
      <w:tblCellMar>
        <w:left w:w="108" w:type="dxa"/>
        <w:right w:w="108" w:type="dxa"/>
      </w:tblCellMar>
    </w:tblPr>
  </w:style>
  <w:style w:type="table" w:customStyle="1" w:styleId="a1">
    <w:basedOn w:val="TableNormal1"/>
    <w:rPr>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Pr>
  </w:style>
  <w:style w:type="table" w:customStyle="1" w:styleId="a4">
    <w:basedOn w:val="TableNormal1"/>
    <w:rPr>
      <w:sz w:val="22"/>
      <w:szCs w:val="22"/>
    </w:rPr>
    <w:tblPr>
      <w:tblStyleRowBandSize w:val="1"/>
      <w:tblStyleColBandSize w:val="1"/>
      <w:tblCellMar>
        <w:left w:w="115" w:type="dxa"/>
        <w:right w:w="115" w:type="dxa"/>
      </w:tblCellMar>
    </w:tblPr>
  </w:style>
  <w:style w:type="table" w:customStyle="1" w:styleId="a5">
    <w:basedOn w:val="TableNormal1"/>
    <w:rPr>
      <w:sz w:val="22"/>
      <w:szCs w:val="22"/>
    </w:rPr>
    <w:tblPr>
      <w:tblStyleRowBandSize w:val="1"/>
      <w:tblStyleColBandSize w:val="1"/>
      <w:tblCellMar>
        <w:left w:w="115" w:type="dxa"/>
        <w:right w:w="115" w:type="dxa"/>
      </w:tblCellMar>
    </w:tblPr>
  </w:style>
  <w:style w:type="table" w:customStyle="1" w:styleId="a6">
    <w:basedOn w:val="TableNormal1"/>
    <w:rPr>
      <w:sz w:val="22"/>
      <w:szCs w:val="22"/>
    </w:rPr>
    <w:tblPr>
      <w:tblStyleRowBandSize w:val="1"/>
      <w:tblStyleColBandSize w:val="1"/>
      <w:tblCellMar>
        <w:left w:w="115" w:type="dxa"/>
        <w:right w:w="115" w:type="dxa"/>
      </w:tblCellMar>
    </w:tblPr>
  </w:style>
  <w:style w:type="table" w:customStyle="1" w:styleId="a7">
    <w:basedOn w:val="TableNormal1"/>
    <w:rPr>
      <w:sz w:val="22"/>
      <w:szCs w:val="22"/>
    </w:rPr>
    <w:tblPr>
      <w:tblStyleRowBandSize w:val="1"/>
      <w:tblStyleColBandSize w:val="1"/>
      <w:tblCellMar>
        <w:left w:w="115" w:type="dxa"/>
        <w:right w:w="115" w:type="dxa"/>
      </w:tblCellMar>
    </w:tblPr>
  </w:style>
  <w:style w:type="table" w:customStyle="1" w:styleId="a8">
    <w:basedOn w:val="TableNormal1"/>
    <w:rPr>
      <w:sz w:val="22"/>
      <w:szCs w:val="22"/>
    </w:rPr>
    <w:tblPr>
      <w:tblStyleRowBandSize w:val="1"/>
      <w:tblStyleColBandSize w:val="1"/>
      <w:tblCellMar>
        <w:left w:w="115" w:type="dxa"/>
        <w:right w:w="115" w:type="dxa"/>
      </w:tblCellMar>
    </w:tblPr>
  </w:style>
  <w:style w:type="character" w:styleId="Numeropagina">
    <w:name w:val="page number"/>
    <w:basedOn w:val="Carpredefinitoparagrafo"/>
    <w:uiPriority w:val="99"/>
    <w:semiHidden/>
    <w:unhideWhenUsed/>
    <w:rsid w:val="00BA419A"/>
  </w:style>
  <w:style w:type="table" w:customStyle="1" w:styleId="a9">
    <w:basedOn w:val="TableNormal0"/>
    <w:rPr>
      <w:sz w:val="22"/>
      <w:szCs w:val="22"/>
    </w:rPr>
    <w:tblPr>
      <w:tblStyleRowBandSize w:val="1"/>
      <w:tblStyleColBandSize w:val="1"/>
      <w:tblCellMar>
        <w:left w:w="115" w:type="dxa"/>
        <w:right w:w="115" w:type="dxa"/>
      </w:tblCellMar>
    </w:tblPr>
  </w:style>
  <w:style w:type="table" w:customStyle="1" w:styleId="aa">
    <w:basedOn w:val="TableNormal0"/>
    <w:rPr>
      <w:sz w:val="22"/>
      <w:szCs w:val="22"/>
    </w:rPr>
    <w:tblPr>
      <w:tblStyleRowBandSize w:val="1"/>
      <w:tblStyleColBandSize w:val="1"/>
      <w:tblCellMar>
        <w:left w:w="115" w:type="dxa"/>
        <w:right w:w="115" w:type="dxa"/>
      </w:tblCellMar>
    </w:tblPr>
  </w:style>
  <w:style w:type="table" w:customStyle="1" w:styleId="ab">
    <w:basedOn w:val="TableNormal0"/>
    <w:rPr>
      <w:sz w:val="22"/>
      <w:szCs w:val="22"/>
    </w:rPr>
    <w:tblPr>
      <w:tblStyleRowBandSize w:val="1"/>
      <w:tblStyleColBandSize w:val="1"/>
      <w:tblCellMar>
        <w:left w:w="115" w:type="dxa"/>
        <w:right w:w="115" w:type="dxa"/>
      </w:tblCellMar>
    </w:tblPr>
  </w:style>
  <w:style w:type="table" w:customStyle="1" w:styleId="ac">
    <w:basedOn w:val="TableNormal0"/>
    <w:rPr>
      <w:sz w:val="22"/>
      <w:szCs w:val="22"/>
    </w:rPr>
    <w:tblPr>
      <w:tblStyleRowBandSize w:val="1"/>
      <w:tblStyleColBandSize w:val="1"/>
      <w:tblCellMar>
        <w:left w:w="115" w:type="dxa"/>
        <w:right w:w="115" w:type="dxa"/>
      </w:tblCellMar>
    </w:tblPr>
  </w:style>
  <w:style w:type="table" w:customStyle="1" w:styleId="ad">
    <w:basedOn w:val="TableNormal0"/>
    <w:rPr>
      <w:sz w:val="22"/>
      <w:szCs w:val="22"/>
    </w:rPr>
    <w:tblPr>
      <w:tblStyleRowBandSize w:val="1"/>
      <w:tblStyleColBandSize w:val="1"/>
      <w:tblCellMar>
        <w:left w:w="115" w:type="dxa"/>
        <w:right w:w="115" w:type="dxa"/>
      </w:tblCellMar>
    </w:tblPr>
  </w:style>
  <w:style w:type="character" w:styleId="Testosegnaposto">
    <w:name w:val="Placeholder Text"/>
    <w:basedOn w:val="Carpredefinitoparagrafo"/>
    <w:uiPriority w:val="99"/>
    <w:semiHidden/>
    <w:rsid w:val="00D0057C"/>
    <w:rPr>
      <w:color w:val="666666"/>
    </w:rPr>
  </w:style>
  <w:style w:type="character" w:styleId="Menzionenonrisolta">
    <w:name w:val="Unresolved Mention"/>
    <w:basedOn w:val="Carpredefinitoparagrafo"/>
    <w:uiPriority w:val="99"/>
    <w:semiHidden/>
    <w:unhideWhenUsed/>
    <w:rsid w:val="00B5185F"/>
    <w:rPr>
      <w:color w:val="605E5C"/>
      <w:shd w:val="clear" w:color="auto" w:fill="E1DFDD"/>
    </w:rPr>
  </w:style>
  <w:style w:type="character" w:styleId="Collegamentovisitato">
    <w:name w:val="FollowedHyperlink"/>
    <w:basedOn w:val="Carpredefinitoparagrafo"/>
    <w:uiPriority w:val="99"/>
    <w:semiHidden/>
    <w:unhideWhenUsed/>
    <w:rsid w:val="00D6261A"/>
    <w:rPr>
      <w:color w:val="954F72" w:themeColor="followedHyperlink"/>
      <w:u w:val="single"/>
    </w:rPr>
  </w:style>
  <w:style w:type="paragraph" w:styleId="Sommario4">
    <w:name w:val="toc 4"/>
    <w:basedOn w:val="Normale"/>
    <w:next w:val="Normale"/>
    <w:autoRedefine/>
    <w:uiPriority w:val="39"/>
    <w:semiHidden/>
    <w:unhideWhenUsed/>
    <w:rsid w:val="00AE6B8E"/>
    <w:pPr>
      <w:ind w:left="720"/>
    </w:pPr>
    <w:rPr>
      <w:rFonts w:asciiTheme="minorHAnsi" w:hAnsiTheme="minorHAnsi" w:cstheme="minorHAnsi"/>
      <w:sz w:val="20"/>
      <w:szCs w:val="20"/>
    </w:rPr>
  </w:style>
  <w:style w:type="paragraph" w:styleId="Sommario5">
    <w:name w:val="toc 5"/>
    <w:basedOn w:val="Normale"/>
    <w:next w:val="Normale"/>
    <w:autoRedefine/>
    <w:uiPriority w:val="39"/>
    <w:semiHidden/>
    <w:unhideWhenUsed/>
    <w:rsid w:val="00AE6B8E"/>
    <w:pPr>
      <w:ind w:left="960"/>
    </w:pPr>
    <w:rPr>
      <w:rFonts w:asciiTheme="minorHAnsi" w:hAnsiTheme="minorHAnsi" w:cstheme="minorHAnsi"/>
      <w:sz w:val="20"/>
      <w:szCs w:val="20"/>
    </w:rPr>
  </w:style>
  <w:style w:type="paragraph" w:styleId="Sommario6">
    <w:name w:val="toc 6"/>
    <w:basedOn w:val="Normale"/>
    <w:next w:val="Normale"/>
    <w:autoRedefine/>
    <w:uiPriority w:val="39"/>
    <w:semiHidden/>
    <w:unhideWhenUsed/>
    <w:rsid w:val="00AE6B8E"/>
    <w:pPr>
      <w:ind w:left="1200"/>
    </w:pPr>
    <w:rPr>
      <w:rFonts w:asciiTheme="minorHAnsi" w:hAnsiTheme="minorHAnsi" w:cstheme="minorHAnsi"/>
      <w:sz w:val="20"/>
      <w:szCs w:val="20"/>
    </w:rPr>
  </w:style>
  <w:style w:type="paragraph" w:styleId="Sommario7">
    <w:name w:val="toc 7"/>
    <w:basedOn w:val="Normale"/>
    <w:next w:val="Normale"/>
    <w:autoRedefine/>
    <w:uiPriority w:val="39"/>
    <w:semiHidden/>
    <w:unhideWhenUsed/>
    <w:rsid w:val="00AE6B8E"/>
    <w:pPr>
      <w:ind w:left="1440"/>
    </w:pPr>
    <w:rPr>
      <w:rFonts w:asciiTheme="minorHAnsi" w:hAnsiTheme="minorHAnsi" w:cstheme="minorHAnsi"/>
      <w:sz w:val="20"/>
      <w:szCs w:val="20"/>
    </w:rPr>
  </w:style>
  <w:style w:type="paragraph" w:styleId="Sommario8">
    <w:name w:val="toc 8"/>
    <w:basedOn w:val="Normale"/>
    <w:next w:val="Normale"/>
    <w:autoRedefine/>
    <w:uiPriority w:val="39"/>
    <w:semiHidden/>
    <w:unhideWhenUsed/>
    <w:rsid w:val="00AE6B8E"/>
    <w:pPr>
      <w:ind w:left="1680"/>
    </w:pPr>
    <w:rPr>
      <w:rFonts w:asciiTheme="minorHAnsi" w:hAnsiTheme="minorHAnsi" w:cstheme="minorHAnsi"/>
      <w:sz w:val="20"/>
      <w:szCs w:val="20"/>
    </w:rPr>
  </w:style>
  <w:style w:type="paragraph" w:styleId="Sommario9">
    <w:name w:val="toc 9"/>
    <w:basedOn w:val="Normale"/>
    <w:next w:val="Normale"/>
    <w:autoRedefine/>
    <w:uiPriority w:val="39"/>
    <w:semiHidden/>
    <w:unhideWhenUsed/>
    <w:rsid w:val="00AE6B8E"/>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59275">
      <w:bodyDiv w:val="1"/>
      <w:marLeft w:val="0"/>
      <w:marRight w:val="0"/>
      <w:marTop w:val="0"/>
      <w:marBottom w:val="0"/>
      <w:divBdr>
        <w:top w:val="none" w:sz="0" w:space="0" w:color="auto"/>
        <w:left w:val="none" w:sz="0" w:space="0" w:color="auto"/>
        <w:bottom w:val="none" w:sz="0" w:space="0" w:color="auto"/>
        <w:right w:val="none" w:sz="0" w:space="0" w:color="auto"/>
      </w:divBdr>
      <w:divsChild>
        <w:div w:id="49498184">
          <w:marLeft w:val="0"/>
          <w:marRight w:val="0"/>
          <w:marTop w:val="0"/>
          <w:marBottom w:val="0"/>
          <w:divBdr>
            <w:top w:val="none" w:sz="0" w:space="0" w:color="auto"/>
            <w:left w:val="none" w:sz="0" w:space="0" w:color="auto"/>
            <w:bottom w:val="none" w:sz="0" w:space="0" w:color="auto"/>
            <w:right w:val="none" w:sz="0" w:space="0" w:color="auto"/>
          </w:divBdr>
          <w:divsChild>
            <w:div w:id="1211843979">
              <w:marLeft w:val="0"/>
              <w:marRight w:val="0"/>
              <w:marTop w:val="0"/>
              <w:marBottom w:val="0"/>
              <w:divBdr>
                <w:top w:val="none" w:sz="0" w:space="0" w:color="auto"/>
                <w:left w:val="none" w:sz="0" w:space="0" w:color="auto"/>
                <w:bottom w:val="none" w:sz="0" w:space="0" w:color="auto"/>
                <w:right w:val="none" w:sz="0" w:space="0" w:color="auto"/>
              </w:divBdr>
              <w:divsChild>
                <w:div w:id="9237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482442">
      <w:bodyDiv w:val="1"/>
      <w:marLeft w:val="0"/>
      <w:marRight w:val="0"/>
      <w:marTop w:val="0"/>
      <w:marBottom w:val="0"/>
      <w:divBdr>
        <w:top w:val="none" w:sz="0" w:space="0" w:color="auto"/>
        <w:left w:val="none" w:sz="0" w:space="0" w:color="auto"/>
        <w:bottom w:val="none" w:sz="0" w:space="0" w:color="auto"/>
        <w:right w:val="none" w:sz="0" w:space="0" w:color="auto"/>
      </w:divBdr>
      <w:divsChild>
        <w:div w:id="1487553798">
          <w:marLeft w:val="0"/>
          <w:marRight w:val="0"/>
          <w:marTop w:val="0"/>
          <w:marBottom w:val="0"/>
          <w:divBdr>
            <w:top w:val="none" w:sz="0" w:space="0" w:color="auto"/>
            <w:left w:val="none" w:sz="0" w:space="0" w:color="auto"/>
            <w:bottom w:val="none" w:sz="0" w:space="0" w:color="auto"/>
            <w:right w:val="none" w:sz="0" w:space="0" w:color="auto"/>
          </w:divBdr>
          <w:divsChild>
            <w:div w:id="571625633">
              <w:marLeft w:val="0"/>
              <w:marRight w:val="0"/>
              <w:marTop w:val="0"/>
              <w:marBottom w:val="0"/>
              <w:divBdr>
                <w:top w:val="none" w:sz="0" w:space="0" w:color="auto"/>
                <w:left w:val="none" w:sz="0" w:space="0" w:color="auto"/>
                <w:bottom w:val="none" w:sz="0" w:space="0" w:color="auto"/>
                <w:right w:val="none" w:sz="0" w:space="0" w:color="auto"/>
              </w:divBdr>
              <w:divsChild>
                <w:div w:id="66979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970298">
      <w:bodyDiv w:val="1"/>
      <w:marLeft w:val="0"/>
      <w:marRight w:val="0"/>
      <w:marTop w:val="0"/>
      <w:marBottom w:val="0"/>
      <w:divBdr>
        <w:top w:val="none" w:sz="0" w:space="0" w:color="auto"/>
        <w:left w:val="none" w:sz="0" w:space="0" w:color="auto"/>
        <w:bottom w:val="none" w:sz="0" w:space="0" w:color="auto"/>
        <w:right w:val="none" w:sz="0" w:space="0" w:color="auto"/>
      </w:divBdr>
      <w:divsChild>
        <w:div w:id="861893597">
          <w:marLeft w:val="0"/>
          <w:marRight w:val="0"/>
          <w:marTop w:val="0"/>
          <w:marBottom w:val="0"/>
          <w:divBdr>
            <w:top w:val="none" w:sz="0" w:space="0" w:color="auto"/>
            <w:left w:val="none" w:sz="0" w:space="0" w:color="auto"/>
            <w:bottom w:val="none" w:sz="0" w:space="0" w:color="auto"/>
            <w:right w:val="none" w:sz="0" w:space="0" w:color="auto"/>
          </w:divBdr>
        </w:div>
      </w:divsChild>
    </w:div>
    <w:div w:id="1303391764">
      <w:bodyDiv w:val="1"/>
      <w:marLeft w:val="0"/>
      <w:marRight w:val="0"/>
      <w:marTop w:val="0"/>
      <w:marBottom w:val="0"/>
      <w:divBdr>
        <w:top w:val="none" w:sz="0" w:space="0" w:color="auto"/>
        <w:left w:val="none" w:sz="0" w:space="0" w:color="auto"/>
        <w:bottom w:val="none" w:sz="0" w:space="0" w:color="auto"/>
        <w:right w:val="none" w:sz="0" w:space="0" w:color="auto"/>
      </w:divBdr>
      <w:divsChild>
        <w:div w:id="281425645">
          <w:marLeft w:val="0"/>
          <w:marRight w:val="0"/>
          <w:marTop w:val="0"/>
          <w:marBottom w:val="0"/>
          <w:divBdr>
            <w:top w:val="none" w:sz="0" w:space="0" w:color="auto"/>
            <w:left w:val="none" w:sz="0" w:space="0" w:color="auto"/>
            <w:bottom w:val="none" w:sz="0" w:space="0" w:color="auto"/>
            <w:right w:val="none" w:sz="0" w:space="0" w:color="auto"/>
          </w:divBdr>
          <w:divsChild>
            <w:div w:id="990062265">
              <w:marLeft w:val="0"/>
              <w:marRight w:val="0"/>
              <w:marTop w:val="0"/>
              <w:marBottom w:val="0"/>
              <w:divBdr>
                <w:top w:val="none" w:sz="0" w:space="0" w:color="auto"/>
                <w:left w:val="none" w:sz="0" w:space="0" w:color="auto"/>
                <w:bottom w:val="none" w:sz="0" w:space="0" w:color="auto"/>
                <w:right w:val="none" w:sz="0" w:space="0" w:color="auto"/>
              </w:divBdr>
              <w:divsChild>
                <w:div w:id="1993483712">
                  <w:marLeft w:val="0"/>
                  <w:marRight w:val="0"/>
                  <w:marTop w:val="0"/>
                  <w:marBottom w:val="0"/>
                  <w:divBdr>
                    <w:top w:val="none" w:sz="0" w:space="0" w:color="auto"/>
                    <w:left w:val="none" w:sz="0" w:space="0" w:color="auto"/>
                    <w:bottom w:val="none" w:sz="0" w:space="0" w:color="auto"/>
                    <w:right w:val="none" w:sz="0" w:space="0" w:color="auto"/>
                  </w:divBdr>
                </w:div>
              </w:divsChild>
            </w:div>
            <w:div w:id="1791437420">
              <w:marLeft w:val="0"/>
              <w:marRight w:val="0"/>
              <w:marTop w:val="0"/>
              <w:marBottom w:val="0"/>
              <w:divBdr>
                <w:top w:val="none" w:sz="0" w:space="0" w:color="auto"/>
                <w:left w:val="none" w:sz="0" w:space="0" w:color="auto"/>
                <w:bottom w:val="none" w:sz="0" w:space="0" w:color="auto"/>
                <w:right w:val="none" w:sz="0" w:space="0" w:color="auto"/>
              </w:divBdr>
              <w:divsChild>
                <w:div w:id="2200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74361">
          <w:marLeft w:val="0"/>
          <w:marRight w:val="0"/>
          <w:marTop w:val="0"/>
          <w:marBottom w:val="0"/>
          <w:divBdr>
            <w:top w:val="none" w:sz="0" w:space="0" w:color="auto"/>
            <w:left w:val="none" w:sz="0" w:space="0" w:color="auto"/>
            <w:bottom w:val="none" w:sz="0" w:space="0" w:color="auto"/>
            <w:right w:val="none" w:sz="0" w:space="0" w:color="auto"/>
          </w:divBdr>
          <w:divsChild>
            <w:div w:id="1511795289">
              <w:marLeft w:val="0"/>
              <w:marRight w:val="0"/>
              <w:marTop w:val="0"/>
              <w:marBottom w:val="0"/>
              <w:divBdr>
                <w:top w:val="none" w:sz="0" w:space="0" w:color="auto"/>
                <w:left w:val="none" w:sz="0" w:space="0" w:color="auto"/>
                <w:bottom w:val="none" w:sz="0" w:space="0" w:color="auto"/>
                <w:right w:val="none" w:sz="0" w:space="0" w:color="auto"/>
              </w:divBdr>
              <w:divsChild>
                <w:div w:id="80080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6569">
      <w:bodyDiv w:val="1"/>
      <w:marLeft w:val="0"/>
      <w:marRight w:val="0"/>
      <w:marTop w:val="0"/>
      <w:marBottom w:val="0"/>
      <w:divBdr>
        <w:top w:val="none" w:sz="0" w:space="0" w:color="auto"/>
        <w:left w:val="none" w:sz="0" w:space="0" w:color="auto"/>
        <w:bottom w:val="none" w:sz="0" w:space="0" w:color="auto"/>
        <w:right w:val="none" w:sz="0" w:space="0" w:color="auto"/>
      </w:divBdr>
      <w:divsChild>
        <w:div w:id="1847861829">
          <w:marLeft w:val="0"/>
          <w:marRight w:val="0"/>
          <w:marTop w:val="0"/>
          <w:marBottom w:val="0"/>
          <w:divBdr>
            <w:top w:val="none" w:sz="0" w:space="0" w:color="auto"/>
            <w:left w:val="none" w:sz="0" w:space="0" w:color="auto"/>
            <w:bottom w:val="none" w:sz="0" w:space="0" w:color="auto"/>
            <w:right w:val="none" w:sz="0" w:space="0" w:color="auto"/>
          </w:divBdr>
          <w:divsChild>
            <w:div w:id="414547426">
              <w:marLeft w:val="0"/>
              <w:marRight w:val="0"/>
              <w:marTop w:val="0"/>
              <w:marBottom w:val="0"/>
              <w:divBdr>
                <w:top w:val="none" w:sz="0" w:space="0" w:color="auto"/>
                <w:left w:val="none" w:sz="0" w:space="0" w:color="auto"/>
                <w:bottom w:val="none" w:sz="0" w:space="0" w:color="auto"/>
                <w:right w:val="none" w:sz="0" w:space="0" w:color="auto"/>
              </w:divBdr>
              <w:divsChild>
                <w:div w:id="3238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75296">
      <w:bodyDiv w:val="1"/>
      <w:marLeft w:val="0"/>
      <w:marRight w:val="0"/>
      <w:marTop w:val="0"/>
      <w:marBottom w:val="0"/>
      <w:divBdr>
        <w:top w:val="none" w:sz="0" w:space="0" w:color="auto"/>
        <w:left w:val="none" w:sz="0" w:space="0" w:color="auto"/>
        <w:bottom w:val="none" w:sz="0" w:space="0" w:color="auto"/>
        <w:right w:val="none" w:sz="0" w:space="0" w:color="auto"/>
      </w:divBdr>
      <w:divsChild>
        <w:div w:id="1528594137">
          <w:marLeft w:val="0"/>
          <w:marRight w:val="0"/>
          <w:marTop w:val="0"/>
          <w:marBottom w:val="0"/>
          <w:divBdr>
            <w:top w:val="none" w:sz="0" w:space="0" w:color="auto"/>
            <w:left w:val="none" w:sz="0" w:space="0" w:color="auto"/>
            <w:bottom w:val="none" w:sz="0" w:space="0" w:color="auto"/>
            <w:right w:val="none" w:sz="0" w:space="0" w:color="auto"/>
          </w:divBdr>
          <w:divsChild>
            <w:div w:id="1617640422">
              <w:marLeft w:val="0"/>
              <w:marRight w:val="0"/>
              <w:marTop w:val="0"/>
              <w:marBottom w:val="0"/>
              <w:divBdr>
                <w:top w:val="none" w:sz="0" w:space="0" w:color="auto"/>
                <w:left w:val="none" w:sz="0" w:space="0" w:color="auto"/>
                <w:bottom w:val="none" w:sz="0" w:space="0" w:color="auto"/>
                <w:right w:val="none" w:sz="0" w:space="0" w:color="auto"/>
              </w:divBdr>
              <w:divsChild>
                <w:div w:id="981737900">
                  <w:marLeft w:val="0"/>
                  <w:marRight w:val="0"/>
                  <w:marTop w:val="0"/>
                  <w:marBottom w:val="0"/>
                  <w:divBdr>
                    <w:top w:val="none" w:sz="0" w:space="0" w:color="auto"/>
                    <w:left w:val="none" w:sz="0" w:space="0" w:color="auto"/>
                    <w:bottom w:val="none" w:sz="0" w:space="0" w:color="auto"/>
                    <w:right w:val="none" w:sz="0" w:space="0" w:color="auto"/>
                  </w:divBdr>
                </w:div>
              </w:divsChild>
            </w:div>
            <w:div w:id="2130051251">
              <w:marLeft w:val="0"/>
              <w:marRight w:val="0"/>
              <w:marTop w:val="0"/>
              <w:marBottom w:val="0"/>
              <w:divBdr>
                <w:top w:val="none" w:sz="0" w:space="0" w:color="auto"/>
                <w:left w:val="none" w:sz="0" w:space="0" w:color="auto"/>
                <w:bottom w:val="none" w:sz="0" w:space="0" w:color="auto"/>
                <w:right w:val="none" w:sz="0" w:space="0" w:color="auto"/>
              </w:divBdr>
              <w:divsChild>
                <w:div w:id="13291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83568">
          <w:marLeft w:val="0"/>
          <w:marRight w:val="0"/>
          <w:marTop w:val="0"/>
          <w:marBottom w:val="0"/>
          <w:divBdr>
            <w:top w:val="none" w:sz="0" w:space="0" w:color="auto"/>
            <w:left w:val="none" w:sz="0" w:space="0" w:color="auto"/>
            <w:bottom w:val="none" w:sz="0" w:space="0" w:color="auto"/>
            <w:right w:val="none" w:sz="0" w:space="0" w:color="auto"/>
          </w:divBdr>
          <w:divsChild>
            <w:div w:id="111634896">
              <w:marLeft w:val="0"/>
              <w:marRight w:val="0"/>
              <w:marTop w:val="0"/>
              <w:marBottom w:val="0"/>
              <w:divBdr>
                <w:top w:val="none" w:sz="0" w:space="0" w:color="auto"/>
                <w:left w:val="none" w:sz="0" w:space="0" w:color="auto"/>
                <w:bottom w:val="none" w:sz="0" w:space="0" w:color="auto"/>
                <w:right w:val="none" w:sz="0" w:space="0" w:color="auto"/>
              </w:divBdr>
              <w:divsChild>
                <w:div w:id="3697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GgUHzjJks2c05OKEeTXCyHcdsw==">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</go:docsCustomData>
</go:gDocsCustomXmlDataStorage>
</file>

<file path=customXml/itemProps1.xml><?xml version="1.0" encoding="utf-8"?>
<ds:datastoreItem xmlns:ds="http://schemas.openxmlformats.org/officeDocument/2006/customXml" ds:itemID="{894A2A12-0C2D-D34D-BB1A-9541D5D9035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5691</Words>
  <Characters>32442</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Antonio Piscitelli</cp:lastModifiedBy>
  <cp:revision>9</cp:revision>
  <cp:lastPrinted>2023-11-15T09:16:00Z</cp:lastPrinted>
  <dcterms:created xsi:type="dcterms:W3CDTF">2023-11-17T08:29:00Z</dcterms:created>
  <dcterms:modified xsi:type="dcterms:W3CDTF">2024-03-06T10:53:00Z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0x010100777A26F539967D4F98503910BA4FFFD8</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y fmtid="{D5CDD505-2E9C-101B-9397-08002B2CF9AE}" pid="11" name="MSIP_Label_ea60d57e-af5b-4752-ac57-3e4f28ca11dc_Enabled">
    <vt:lpwstr>true</vt:lpwstr>
  </property>
  <property fmtid="{D5CDD505-2E9C-101B-9397-08002B2CF9AE}" pid="12" name="MSIP_Label_ea60d57e-af5b-4752-ac57-3e4f28ca11dc_SetDate">
    <vt:lpwstr>2023-09-13T12:24:45Z</vt:lpwstr>
  </property>
  <property fmtid="{D5CDD505-2E9C-101B-9397-08002B2CF9AE}" pid="13" name="MSIP_Label_ea60d57e-af5b-4752-ac57-3e4f28ca11dc_Method">
    <vt:lpwstr>Standard</vt:lpwstr>
  </property>
  <property fmtid="{D5CDD505-2E9C-101B-9397-08002B2CF9AE}" pid="14" name="MSIP_Label_ea60d57e-af5b-4752-ac57-3e4f28ca11dc_Name">
    <vt:lpwstr>ea60d57e-af5b-4752-ac57-3e4f28ca11dc</vt:lpwstr>
  </property>
  <property fmtid="{D5CDD505-2E9C-101B-9397-08002B2CF9AE}" pid="15" name="MSIP_Label_ea60d57e-af5b-4752-ac57-3e4f28ca11dc_SiteId">
    <vt:lpwstr>36da45f1-dd2c-4d1f-af13-5abe46b99921</vt:lpwstr>
  </property>
  <property fmtid="{D5CDD505-2E9C-101B-9397-08002B2CF9AE}" pid="16" name="MSIP_Label_ea60d57e-af5b-4752-ac57-3e4f28ca11dc_ActionId">
    <vt:lpwstr>08ff357b-a715-4249-be25-00cb635483e2</vt:lpwstr>
  </property>
  <property fmtid="{D5CDD505-2E9C-101B-9397-08002B2CF9AE}" pid="17" name="MSIP_Label_ea60d57e-af5b-4752-ac57-3e4f28ca11dc_ContentBits">
    <vt:lpwstr>0</vt:lpwstr>
  </property>
  <property fmtid="{D5CDD505-2E9C-101B-9397-08002B2CF9AE}" pid="18" name="GrammarlyDocumentId">
    <vt:lpwstr>648b1346cb82f4e0ea3443a2e96241c7ee18f59318211fb817ce28bef388c141</vt:lpwstr>
  </property>
</Properties>
</file>